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A927A" w14:textId="77777777" w:rsidR="008F3C86" w:rsidRDefault="00786F08" w:rsidP="000C1BD7">
      <w:pPr>
        <w:spacing w:after="0" w:line="240" w:lineRule="auto"/>
        <w:rPr>
          <w:sz w:val="20"/>
        </w:rPr>
      </w:pPr>
      <w:r>
        <w:rPr>
          <w:sz w:val="20"/>
        </w:rPr>
        <w:t>La plupart d’entre nous diraient que nous essayons réellement d’agir de manière bien intentionnée, objective et juste. Cependant, les préjugés inconscients qui découlent des expériences que nous avons nous-mêmes vécues avec d’autres personnes et lors de divers événements ou situations ont une influence sur nous. C’est aussi le cas des expériences indirectes qui sont transmises de génération en génération ou apprises de notre culture, des livres ou des médias.</w:t>
      </w:r>
    </w:p>
    <w:p w14:paraId="40590DE8" w14:textId="77777777" w:rsidR="000C1BD7" w:rsidRPr="00BE3017" w:rsidRDefault="000C1BD7" w:rsidP="000C1BD7">
      <w:pPr>
        <w:spacing w:after="0" w:line="240" w:lineRule="auto"/>
        <w:rPr>
          <w:sz w:val="20"/>
          <w:szCs w:val="20"/>
        </w:rPr>
      </w:pPr>
    </w:p>
    <w:p w14:paraId="3E420D84" w14:textId="77777777" w:rsidR="008F3C86" w:rsidRPr="00BE3017" w:rsidRDefault="007D555C" w:rsidP="000C1BD7">
      <w:pPr>
        <w:spacing w:after="0" w:line="240" w:lineRule="auto"/>
        <w:jc w:val="center"/>
        <w:rPr>
          <w:i/>
          <w:color w:val="7030A0"/>
          <w:sz w:val="20"/>
          <w:szCs w:val="20"/>
        </w:rPr>
      </w:pPr>
      <w:r>
        <w:rPr>
          <w:b/>
          <w:i/>
          <w:color w:val="7030A0"/>
          <w:sz w:val="20"/>
        </w:rPr>
        <w:t>(Réfléchissez aux préjugés dont vous avez été témoin et vérifiez si vous devez prendre conscience de certains autres.)</w:t>
      </w:r>
    </w:p>
    <w:p w14:paraId="070D4777" w14:textId="77777777" w:rsidR="00786F08" w:rsidRDefault="00786F08" w:rsidP="000C1BD7">
      <w:pPr>
        <w:spacing w:before="120" w:after="0" w:line="240" w:lineRule="auto"/>
        <w:jc w:val="center"/>
        <w:rPr>
          <w:color w:val="365F91" w:themeColor="accent1" w:themeShade="BF"/>
          <w:sz w:val="32"/>
        </w:rPr>
      </w:pPr>
      <w:r>
        <w:rPr>
          <w:color w:val="365F91" w:themeColor="accent1" w:themeShade="BF"/>
          <w:sz w:val="32"/>
        </w:rPr>
        <w:t>Types de préjugés possibles lors d’une entrevue</w:t>
      </w:r>
    </w:p>
    <w:p w14:paraId="237B50C9" w14:textId="77777777" w:rsidR="00786F08" w:rsidRPr="00BE3017" w:rsidRDefault="00786F08" w:rsidP="000C1BD7">
      <w:pPr>
        <w:spacing w:after="0" w:line="240" w:lineRule="auto"/>
        <w:ind w:left="-993"/>
        <w:rPr>
          <w:color w:val="365F91" w:themeColor="accent1" w:themeShade="BF"/>
          <w:sz w:val="10"/>
          <w:szCs w:val="10"/>
        </w:rPr>
      </w:pPr>
    </w:p>
    <w:tbl>
      <w:tblPr>
        <w:tblStyle w:val="TableGrid"/>
        <w:tblW w:w="11356" w:type="dxa"/>
        <w:tblInd w:w="-72" w:type="dxa"/>
        <w:tblLayout w:type="fixed"/>
        <w:tblLook w:val="04A0" w:firstRow="1" w:lastRow="0" w:firstColumn="1" w:lastColumn="0" w:noHBand="0" w:noVBand="1"/>
      </w:tblPr>
      <w:tblGrid>
        <w:gridCol w:w="180"/>
        <w:gridCol w:w="1800"/>
        <w:gridCol w:w="4410"/>
        <w:gridCol w:w="3010"/>
        <w:gridCol w:w="1760"/>
        <w:gridCol w:w="196"/>
      </w:tblGrid>
      <w:tr w:rsidR="00786F08" w:rsidRPr="00BE3017" w14:paraId="1A760E18" w14:textId="77777777" w:rsidTr="00A141D0">
        <w:trPr>
          <w:gridBefore w:val="1"/>
          <w:gridAfter w:val="1"/>
          <w:wBefore w:w="180" w:type="dxa"/>
          <w:wAfter w:w="196" w:type="dxa"/>
          <w:cantSplit/>
          <w:trHeight w:val="332"/>
          <w:tblHeader/>
        </w:trPr>
        <w:tc>
          <w:tcPr>
            <w:tcW w:w="1800" w:type="dxa"/>
          </w:tcPr>
          <w:p w14:paraId="4CD6FD78" w14:textId="77777777" w:rsidR="00786F08" w:rsidRPr="00BE3017" w:rsidRDefault="00786F08" w:rsidP="00D94451">
            <w:pPr>
              <w:spacing w:after="100" w:line="240" w:lineRule="auto"/>
              <w:rPr>
                <w:color w:val="365F91" w:themeColor="accent1" w:themeShade="BF"/>
                <w:sz w:val="28"/>
                <w:szCs w:val="28"/>
              </w:rPr>
            </w:pPr>
            <w:r>
              <w:rPr>
                <w:color w:val="365F91" w:themeColor="accent1" w:themeShade="BF"/>
                <w:sz w:val="28"/>
              </w:rPr>
              <w:t>Préjugé</w:t>
            </w:r>
          </w:p>
        </w:tc>
        <w:tc>
          <w:tcPr>
            <w:tcW w:w="4410" w:type="dxa"/>
          </w:tcPr>
          <w:p w14:paraId="6EC6C540" w14:textId="77777777" w:rsidR="00786F08" w:rsidRPr="00BE3017" w:rsidRDefault="00786F08" w:rsidP="00D94451">
            <w:pPr>
              <w:spacing w:after="100" w:line="240" w:lineRule="auto"/>
              <w:rPr>
                <w:color w:val="365F91" w:themeColor="accent1" w:themeShade="BF"/>
                <w:sz w:val="28"/>
                <w:szCs w:val="28"/>
              </w:rPr>
            </w:pPr>
            <w:r>
              <w:rPr>
                <w:color w:val="365F91" w:themeColor="accent1" w:themeShade="BF"/>
                <w:sz w:val="28"/>
              </w:rPr>
              <w:t>Définition</w:t>
            </w:r>
          </w:p>
        </w:tc>
        <w:tc>
          <w:tcPr>
            <w:tcW w:w="3010" w:type="dxa"/>
          </w:tcPr>
          <w:p w14:paraId="5A8A0E3A" w14:textId="77777777" w:rsidR="00786F08" w:rsidRPr="00BE3017" w:rsidRDefault="00786F08" w:rsidP="00D94451">
            <w:pPr>
              <w:spacing w:after="100" w:line="240" w:lineRule="auto"/>
              <w:rPr>
                <w:color w:val="365F91" w:themeColor="accent1" w:themeShade="BF"/>
                <w:sz w:val="28"/>
                <w:szCs w:val="28"/>
              </w:rPr>
            </w:pPr>
            <w:r>
              <w:rPr>
                <w:color w:val="365F91" w:themeColor="accent1" w:themeShade="BF"/>
                <w:sz w:val="28"/>
              </w:rPr>
              <w:t>Exemple</w:t>
            </w:r>
          </w:p>
        </w:tc>
        <w:tc>
          <w:tcPr>
            <w:tcW w:w="1760" w:type="dxa"/>
          </w:tcPr>
          <w:p w14:paraId="7D50A926" w14:textId="77777777" w:rsidR="00786F08" w:rsidRPr="00BE3017" w:rsidRDefault="00786F08" w:rsidP="00D94451">
            <w:pPr>
              <w:spacing w:after="100" w:line="240" w:lineRule="auto"/>
              <w:ind w:right="67"/>
              <w:rPr>
                <w:color w:val="365F91" w:themeColor="accent1" w:themeShade="BF"/>
                <w:sz w:val="28"/>
                <w:szCs w:val="28"/>
              </w:rPr>
            </w:pPr>
            <w:r>
              <w:rPr>
                <w:color w:val="365F91" w:themeColor="accent1" w:themeShade="BF"/>
                <w:sz w:val="28"/>
              </w:rPr>
              <w:t>Réflexion (</w:t>
            </w:r>
            <w:r>
              <w:rPr>
                <w:b/>
                <w:color w:val="7030A0"/>
                <w:sz w:val="28"/>
              </w:rPr>
              <w:t>√</w:t>
            </w:r>
            <w:r>
              <w:rPr>
                <w:color w:val="365F91" w:themeColor="accent1" w:themeShade="BF"/>
                <w:sz w:val="28"/>
              </w:rPr>
              <w:t>)</w:t>
            </w:r>
          </w:p>
        </w:tc>
      </w:tr>
      <w:tr w:rsidR="00786F08" w:rsidRPr="00BE3017" w14:paraId="09719510" w14:textId="77777777" w:rsidTr="00A141D0">
        <w:trPr>
          <w:gridBefore w:val="1"/>
          <w:gridAfter w:val="1"/>
          <w:wBefore w:w="180" w:type="dxa"/>
          <w:wAfter w:w="196" w:type="dxa"/>
          <w:cantSplit/>
        </w:trPr>
        <w:tc>
          <w:tcPr>
            <w:tcW w:w="1800" w:type="dxa"/>
          </w:tcPr>
          <w:p w14:paraId="3D4BDE75" w14:textId="6460E327" w:rsidR="00786F08" w:rsidRPr="00BE3017" w:rsidRDefault="00786F08" w:rsidP="00D94451">
            <w:pPr>
              <w:spacing w:after="100" w:line="240" w:lineRule="auto"/>
              <w:rPr>
                <w:b/>
                <w:sz w:val="24"/>
                <w:szCs w:val="24"/>
              </w:rPr>
            </w:pPr>
            <w:r>
              <w:rPr>
                <w:b/>
                <w:sz w:val="24"/>
              </w:rPr>
              <w:t>Syndrome « comme moi »</w:t>
            </w:r>
          </w:p>
        </w:tc>
        <w:tc>
          <w:tcPr>
            <w:tcW w:w="4410" w:type="dxa"/>
          </w:tcPr>
          <w:p w14:paraId="22A1F683" w14:textId="77777777" w:rsidR="00786F08" w:rsidRPr="00BE3017" w:rsidRDefault="00786F08" w:rsidP="00D94451">
            <w:pPr>
              <w:spacing w:after="100" w:line="240" w:lineRule="auto"/>
              <w:rPr>
                <w:sz w:val="18"/>
                <w:szCs w:val="18"/>
              </w:rPr>
            </w:pPr>
            <w:r>
              <w:rPr>
                <w:sz w:val="18"/>
              </w:rPr>
              <w:t>Se produit lorsque le candidat ou la candidate présente les mêmes caractéristiques ou champs d’intérêt que la personne qui l’interviewe, ce qui amène cette dernière à omettre des aspects négatifs.</w:t>
            </w:r>
          </w:p>
        </w:tc>
        <w:tc>
          <w:tcPr>
            <w:tcW w:w="3010" w:type="dxa"/>
          </w:tcPr>
          <w:p w14:paraId="3A7AC86C" w14:textId="77777777" w:rsidR="00786F08" w:rsidRPr="00BE3017" w:rsidRDefault="00786F08" w:rsidP="00D94451">
            <w:pPr>
              <w:spacing w:after="100" w:line="240" w:lineRule="auto"/>
              <w:rPr>
                <w:sz w:val="18"/>
                <w:szCs w:val="18"/>
              </w:rPr>
            </w:pPr>
            <w:r>
              <w:rPr>
                <w:sz w:val="18"/>
              </w:rPr>
              <w:t>Le candidat ou la candidate a le même champ d’intérêt ou passe-temps, a fréquenté la même école ou a étudié dans le même domaine que la personne qui l’interviewe.</w:t>
            </w:r>
          </w:p>
        </w:tc>
        <w:tc>
          <w:tcPr>
            <w:tcW w:w="1760" w:type="dxa"/>
          </w:tcPr>
          <w:p w14:paraId="13679FFE" w14:textId="77777777" w:rsidR="00786F08" w:rsidRPr="00BE3017" w:rsidRDefault="00786F08" w:rsidP="00D94451">
            <w:pPr>
              <w:spacing w:after="100" w:line="240" w:lineRule="auto"/>
              <w:ind w:right="67"/>
              <w:rPr>
                <w:sz w:val="20"/>
                <w:szCs w:val="20"/>
              </w:rPr>
            </w:pPr>
          </w:p>
        </w:tc>
      </w:tr>
      <w:tr w:rsidR="00786F08" w:rsidRPr="00BE3017" w14:paraId="55369FE2" w14:textId="77777777" w:rsidTr="00A141D0">
        <w:trPr>
          <w:gridBefore w:val="1"/>
          <w:gridAfter w:val="1"/>
          <w:wBefore w:w="180" w:type="dxa"/>
          <w:wAfter w:w="196" w:type="dxa"/>
          <w:cantSplit/>
          <w:trHeight w:val="922"/>
        </w:trPr>
        <w:tc>
          <w:tcPr>
            <w:tcW w:w="1800" w:type="dxa"/>
          </w:tcPr>
          <w:p w14:paraId="65704CB8" w14:textId="77777777" w:rsidR="00786F08" w:rsidRPr="00BE3017" w:rsidRDefault="00786F08" w:rsidP="00D94451">
            <w:pPr>
              <w:spacing w:after="100" w:line="240" w:lineRule="auto"/>
              <w:rPr>
                <w:b/>
                <w:sz w:val="24"/>
                <w:szCs w:val="24"/>
              </w:rPr>
            </w:pPr>
            <w:r>
              <w:rPr>
                <w:b/>
                <w:sz w:val="24"/>
              </w:rPr>
              <w:t>Premières impressions ou jugement hâtif</w:t>
            </w:r>
          </w:p>
        </w:tc>
        <w:tc>
          <w:tcPr>
            <w:tcW w:w="4410" w:type="dxa"/>
          </w:tcPr>
          <w:p w14:paraId="203C1ABE" w14:textId="77777777" w:rsidR="00786F08" w:rsidRPr="00BE3017" w:rsidRDefault="00786F08" w:rsidP="00D94451">
            <w:pPr>
              <w:spacing w:after="100" w:line="240" w:lineRule="auto"/>
              <w:rPr>
                <w:sz w:val="18"/>
                <w:szCs w:val="18"/>
              </w:rPr>
            </w:pPr>
            <w:r>
              <w:rPr>
                <w:sz w:val="18"/>
              </w:rPr>
              <w:t>Cela peut favoriser ou défavoriser le candidat ou la candidate, selon les premières impressions de son intervieweur(se). La personnalité et les premières impressions notées en entrevue ne sont pas de bons moyens de prédire le rendement d’une personne.</w:t>
            </w:r>
          </w:p>
        </w:tc>
        <w:tc>
          <w:tcPr>
            <w:tcW w:w="3010" w:type="dxa"/>
          </w:tcPr>
          <w:p w14:paraId="3CDAB414" w14:textId="77777777" w:rsidR="00786F08" w:rsidRPr="00BE3017" w:rsidRDefault="00786F08" w:rsidP="00D94451">
            <w:pPr>
              <w:spacing w:after="100" w:line="240" w:lineRule="auto"/>
              <w:rPr>
                <w:sz w:val="18"/>
                <w:szCs w:val="18"/>
              </w:rPr>
            </w:pPr>
            <w:r>
              <w:rPr>
                <w:sz w:val="18"/>
              </w:rPr>
              <w:t>L’intervieweur(se) s’entend aussitôt avec le candidat ou la candidate, aime sa façon de parler ou le ton de sa voix ou en a plutôt une perception négative. Dans les deux cas, sa réaction ne repose ni sur la logique ni sur des faits.</w:t>
            </w:r>
          </w:p>
        </w:tc>
        <w:tc>
          <w:tcPr>
            <w:tcW w:w="1760" w:type="dxa"/>
          </w:tcPr>
          <w:p w14:paraId="2D3B40ED" w14:textId="77777777" w:rsidR="00786F08" w:rsidRPr="00BE3017" w:rsidRDefault="00786F08" w:rsidP="00D94451">
            <w:pPr>
              <w:spacing w:after="100" w:line="240" w:lineRule="auto"/>
              <w:ind w:right="67"/>
              <w:rPr>
                <w:sz w:val="20"/>
                <w:szCs w:val="20"/>
              </w:rPr>
            </w:pPr>
          </w:p>
        </w:tc>
      </w:tr>
      <w:tr w:rsidR="00786F08" w:rsidRPr="00BE3017" w14:paraId="006B37D7" w14:textId="77777777" w:rsidTr="00A141D0">
        <w:trPr>
          <w:gridBefore w:val="1"/>
          <w:gridAfter w:val="1"/>
          <w:wBefore w:w="180" w:type="dxa"/>
          <w:wAfter w:w="196" w:type="dxa"/>
          <w:cantSplit/>
          <w:trHeight w:val="610"/>
        </w:trPr>
        <w:tc>
          <w:tcPr>
            <w:tcW w:w="1800" w:type="dxa"/>
          </w:tcPr>
          <w:p w14:paraId="2BA08E80" w14:textId="77777777" w:rsidR="00786F08" w:rsidRPr="00BE3017" w:rsidRDefault="00786F08" w:rsidP="00D94451">
            <w:pPr>
              <w:spacing w:after="100" w:line="240" w:lineRule="auto"/>
              <w:rPr>
                <w:b/>
                <w:sz w:val="24"/>
                <w:szCs w:val="24"/>
              </w:rPr>
            </w:pPr>
            <w:r>
              <w:rPr>
                <w:b/>
                <w:sz w:val="24"/>
              </w:rPr>
              <w:t>Effet de halo</w:t>
            </w:r>
          </w:p>
        </w:tc>
        <w:tc>
          <w:tcPr>
            <w:tcW w:w="4410" w:type="dxa"/>
          </w:tcPr>
          <w:p w14:paraId="49877F78" w14:textId="77777777" w:rsidR="00786F08" w:rsidRPr="00BE3017" w:rsidRDefault="00786F08" w:rsidP="00D94451">
            <w:pPr>
              <w:spacing w:after="100" w:line="240" w:lineRule="auto"/>
              <w:rPr>
                <w:sz w:val="18"/>
                <w:szCs w:val="18"/>
              </w:rPr>
            </w:pPr>
            <w:r>
              <w:rPr>
                <w:sz w:val="18"/>
              </w:rPr>
              <w:t>L’intervieweur(se) évalue positivement le candidat ou la candidate en se basant sur une seule caractéristique (comme son assurance, qui pourrait cacher un manque d’expérience dans un domaine en particulier).</w:t>
            </w:r>
          </w:p>
        </w:tc>
        <w:tc>
          <w:tcPr>
            <w:tcW w:w="3010" w:type="dxa"/>
          </w:tcPr>
          <w:p w14:paraId="6E31F68F" w14:textId="77777777" w:rsidR="00786F08" w:rsidRPr="00BE3017" w:rsidRDefault="00786F08" w:rsidP="00D94451">
            <w:pPr>
              <w:spacing w:after="100" w:line="240" w:lineRule="auto"/>
              <w:rPr>
                <w:sz w:val="18"/>
                <w:szCs w:val="18"/>
              </w:rPr>
            </w:pPr>
            <w:r>
              <w:rPr>
                <w:sz w:val="18"/>
              </w:rPr>
              <w:t>Une personne diplômée d’une université prestigieuse est perçue plus favorablement et considérée comme très compétente.</w:t>
            </w:r>
          </w:p>
        </w:tc>
        <w:tc>
          <w:tcPr>
            <w:tcW w:w="1760" w:type="dxa"/>
          </w:tcPr>
          <w:p w14:paraId="0DCCAF3C" w14:textId="77777777" w:rsidR="00786F08" w:rsidRPr="00BE3017" w:rsidRDefault="00786F08" w:rsidP="00D94451">
            <w:pPr>
              <w:spacing w:after="100" w:line="240" w:lineRule="auto"/>
              <w:ind w:right="67"/>
              <w:rPr>
                <w:sz w:val="20"/>
                <w:szCs w:val="20"/>
              </w:rPr>
            </w:pPr>
          </w:p>
        </w:tc>
      </w:tr>
      <w:tr w:rsidR="00786F08" w:rsidRPr="00BE3017" w14:paraId="614AAD8E" w14:textId="77777777" w:rsidTr="00A141D0">
        <w:trPr>
          <w:gridBefore w:val="1"/>
          <w:gridAfter w:val="1"/>
          <w:wBefore w:w="180" w:type="dxa"/>
          <w:wAfter w:w="196" w:type="dxa"/>
          <w:cantSplit/>
        </w:trPr>
        <w:tc>
          <w:tcPr>
            <w:tcW w:w="1800" w:type="dxa"/>
          </w:tcPr>
          <w:p w14:paraId="2C49D892" w14:textId="77777777" w:rsidR="00786F08" w:rsidRPr="00BE3017" w:rsidRDefault="00786F08" w:rsidP="00D94451">
            <w:pPr>
              <w:spacing w:after="100" w:line="240" w:lineRule="auto"/>
              <w:rPr>
                <w:b/>
                <w:sz w:val="24"/>
                <w:szCs w:val="24"/>
              </w:rPr>
            </w:pPr>
            <w:r>
              <w:rPr>
                <w:b/>
                <w:sz w:val="24"/>
              </w:rPr>
              <w:t>Effet de corne</w:t>
            </w:r>
          </w:p>
        </w:tc>
        <w:tc>
          <w:tcPr>
            <w:tcW w:w="4410" w:type="dxa"/>
          </w:tcPr>
          <w:p w14:paraId="28062BFD" w14:textId="77777777" w:rsidR="00786F08" w:rsidRPr="00BE3017" w:rsidRDefault="00786F08" w:rsidP="00D94451">
            <w:pPr>
              <w:spacing w:after="100" w:line="240" w:lineRule="auto"/>
              <w:rPr>
                <w:sz w:val="18"/>
                <w:szCs w:val="18"/>
              </w:rPr>
            </w:pPr>
            <w:r>
              <w:rPr>
                <w:sz w:val="18"/>
              </w:rPr>
              <w:t>L’intervieweur(se) évalue négativement le candidat ou la candidate en se basant sur une seule caractéristique.</w:t>
            </w:r>
          </w:p>
        </w:tc>
        <w:tc>
          <w:tcPr>
            <w:tcW w:w="3010" w:type="dxa"/>
          </w:tcPr>
          <w:p w14:paraId="0FD24AD0" w14:textId="77777777" w:rsidR="00786F08" w:rsidRPr="00BE3017" w:rsidRDefault="00786F08" w:rsidP="00D94451">
            <w:pPr>
              <w:spacing w:after="100" w:line="240" w:lineRule="auto"/>
              <w:rPr>
                <w:sz w:val="18"/>
                <w:szCs w:val="18"/>
              </w:rPr>
            </w:pPr>
            <w:r>
              <w:rPr>
                <w:sz w:val="18"/>
              </w:rPr>
              <w:t>Le candidat ou la candidate répond mal aux deux premières questions, ce qui porte l’intervieweur(se) à croire que cette personne n’a pas les compétences requises pour le poste.</w:t>
            </w:r>
          </w:p>
        </w:tc>
        <w:tc>
          <w:tcPr>
            <w:tcW w:w="1760" w:type="dxa"/>
          </w:tcPr>
          <w:p w14:paraId="118CCABF" w14:textId="77777777" w:rsidR="00786F08" w:rsidRPr="00BE3017" w:rsidRDefault="00786F08" w:rsidP="00D94451">
            <w:pPr>
              <w:spacing w:after="100" w:line="240" w:lineRule="auto"/>
              <w:ind w:right="67"/>
              <w:rPr>
                <w:sz w:val="20"/>
                <w:szCs w:val="20"/>
              </w:rPr>
            </w:pPr>
          </w:p>
        </w:tc>
      </w:tr>
      <w:tr w:rsidR="00786F08" w:rsidRPr="00BE3017" w14:paraId="14CC7E75" w14:textId="77777777" w:rsidTr="00A141D0">
        <w:trPr>
          <w:gridBefore w:val="1"/>
          <w:gridAfter w:val="1"/>
          <w:wBefore w:w="180" w:type="dxa"/>
          <w:wAfter w:w="196" w:type="dxa"/>
          <w:cantSplit/>
        </w:trPr>
        <w:tc>
          <w:tcPr>
            <w:tcW w:w="1800" w:type="dxa"/>
          </w:tcPr>
          <w:p w14:paraId="23156318" w14:textId="73F73E6F" w:rsidR="00786F08" w:rsidRPr="00BE3017" w:rsidRDefault="00786F08" w:rsidP="00D94451">
            <w:pPr>
              <w:spacing w:after="100" w:line="240" w:lineRule="auto"/>
              <w:rPr>
                <w:b/>
                <w:sz w:val="24"/>
                <w:szCs w:val="24"/>
              </w:rPr>
            </w:pPr>
            <w:r>
              <w:rPr>
                <w:b/>
                <w:sz w:val="24"/>
              </w:rPr>
              <w:t>Intuition</w:t>
            </w:r>
          </w:p>
        </w:tc>
        <w:tc>
          <w:tcPr>
            <w:tcW w:w="4410" w:type="dxa"/>
          </w:tcPr>
          <w:p w14:paraId="06875016" w14:textId="77777777" w:rsidR="00786F08" w:rsidRPr="00BE3017" w:rsidRDefault="00786F08" w:rsidP="00D94451">
            <w:pPr>
              <w:spacing w:after="100" w:line="240" w:lineRule="auto"/>
              <w:rPr>
                <w:sz w:val="18"/>
                <w:szCs w:val="18"/>
              </w:rPr>
            </w:pPr>
            <w:r>
              <w:rPr>
                <w:sz w:val="18"/>
              </w:rPr>
              <w:t>Même s’il est humain d’utiliser des facteurs intuitifs pour évaluer un candidat ou une candidate, l’intuition ne fournit pas assez d’information pour évaluer objectivement chaque aspect de sa compatibilité avec la culture de l’entreprise ou les exigences du poste. L’intuition peut manquer de fiabilité, car on la croit sensible à des facteurs non liés à la décision d’embauche, comme les émotions, la mémoire, etc.</w:t>
            </w:r>
          </w:p>
        </w:tc>
        <w:tc>
          <w:tcPr>
            <w:tcW w:w="3010" w:type="dxa"/>
          </w:tcPr>
          <w:p w14:paraId="10181098" w14:textId="77777777" w:rsidR="00786F08" w:rsidRPr="00BE3017" w:rsidRDefault="00786F08" w:rsidP="00D94451">
            <w:pPr>
              <w:spacing w:after="100" w:line="240" w:lineRule="auto"/>
              <w:rPr>
                <w:sz w:val="18"/>
                <w:szCs w:val="18"/>
              </w:rPr>
            </w:pPr>
            <w:r>
              <w:rPr>
                <w:sz w:val="18"/>
              </w:rPr>
              <w:t>On répond purement à l’instinct plutôt qu’aux facteurs de rendement comportementaux évalués pendant l’entrevue.</w:t>
            </w:r>
          </w:p>
        </w:tc>
        <w:tc>
          <w:tcPr>
            <w:tcW w:w="1760" w:type="dxa"/>
          </w:tcPr>
          <w:p w14:paraId="06415E54" w14:textId="77777777" w:rsidR="00786F08" w:rsidRPr="00BE3017" w:rsidRDefault="00786F08" w:rsidP="00D94451">
            <w:pPr>
              <w:spacing w:after="100" w:line="240" w:lineRule="auto"/>
              <w:ind w:right="67"/>
              <w:rPr>
                <w:sz w:val="20"/>
                <w:szCs w:val="20"/>
              </w:rPr>
            </w:pPr>
          </w:p>
        </w:tc>
      </w:tr>
      <w:tr w:rsidR="00786F08" w:rsidRPr="00BE3017" w14:paraId="729A9C18" w14:textId="77777777" w:rsidTr="00A141D0">
        <w:trPr>
          <w:gridBefore w:val="1"/>
          <w:gridAfter w:val="1"/>
          <w:wBefore w:w="180" w:type="dxa"/>
          <w:wAfter w:w="196" w:type="dxa"/>
          <w:cantSplit/>
          <w:trHeight w:val="730"/>
        </w:trPr>
        <w:tc>
          <w:tcPr>
            <w:tcW w:w="1800" w:type="dxa"/>
          </w:tcPr>
          <w:p w14:paraId="041BFBFD" w14:textId="77777777" w:rsidR="00786F08" w:rsidRPr="00BE3017" w:rsidRDefault="00786F08" w:rsidP="00D94451">
            <w:pPr>
              <w:spacing w:after="100" w:line="240" w:lineRule="auto"/>
              <w:rPr>
                <w:b/>
                <w:sz w:val="24"/>
                <w:szCs w:val="24"/>
              </w:rPr>
            </w:pPr>
            <w:r>
              <w:rPr>
                <w:b/>
                <w:sz w:val="24"/>
              </w:rPr>
              <w:t>Tendance moyenne ou centrale</w:t>
            </w:r>
          </w:p>
        </w:tc>
        <w:tc>
          <w:tcPr>
            <w:tcW w:w="4410" w:type="dxa"/>
          </w:tcPr>
          <w:p w14:paraId="409ED634" w14:textId="77777777" w:rsidR="00786F08" w:rsidRPr="00BE3017" w:rsidRDefault="00786F08" w:rsidP="00D94451">
            <w:pPr>
              <w:spacing w:after="100" w:line="240" w:lineRule="auto"/>
              <w:rPr>
                <w:sz w:val="18"/>
                <w:szCs w:val="18"/>
              </w:rPr>
            </w:pPr>
            <w:r>
              <w:rPr>
                <w:sz w:val="18"/>
              </w:rPr>
              <w:t>L’intervieweur(se) a de la difficulté à déterminer quelle personne convient le mieux au poste et attribue la même note à l’ensemble des candidats et candidates.</w:t>
            </w:r>
          </w:p>
        </w:tc>
        <w:tc>
          <w:tcPr>
            <w:tcW w:w="3010" w:type="dxa"/>
          </w:tcPr>
          <w:p w14:paraId="288C52B2" w14:textId="77777777" w:rsidR="00786F08" w:rsidRPr="00BE3017" w:rsidRDefault="00786F08" w:rsidP="00D94451">
            <w:pPr>
              <w:spacing w:after="100" w:line="240" w:lineRule="auto"/>
              <w:rPr>
                <w:sz w:val="18"/>
                <w:szCs w:val="18"/>
              </w:rPr>
            </w:pPr>
            <w:r>
              <w:rPr>
                <w:sz w:val="18"/>
              </w:rPr>
              <w:t>L’utilisation de questions d’entrevue structurées et d’un outil d’évaluation peut aider à atténuer cette tendance.</w:t>
            </w:r>
          </w:p>
        </w:tc>
        <w:tc>
          <w:tcPr>
            <w:tcW w:w="1760" w:type="dxa"/>
          </w:tcPr>
          <w:p w14:paraId="2A4D4D48" w14:textId="77777777" w:rsidR="00786F08" w:rsidRPr="00BE3017" w:rsidRDefault="00786F08" w:rsidP="00D94451">
            <w:pPr>
              <w:spacing w:after="100" w:line="240" w:lineRule="auto"/>
              <w:ind w:right="67"/>
              <w:rPr>
                <w:sz w:val="20"/>
                <w:szCs w:val="20"/>
              </w:rPr>
            </w:pPr>
          </w:p>
        </w:tc>
      </w:tr>
      <w:tr w:rsidR="00786F08" w:rsidRPr="00BE3017" w14:paraId="093F3A09" w14:textId="77777777" w:rsidTr="00A141D0">
        <w:trPr>
          <w:gridBefore w:val="1"/>
          <w:gridAfter w:val="1"/>
          <w:wBefore w:w="180" w:type="dxa"/>
          <w:wAfter w:w="196" w:type="dxa"/>
          <w:cantSplit/>
        </w:trPr>
        <w:tc>
          <w:tcPr>
            <w:tcW w:w="1800" w:type="dxa"/>
          </w:tcPr>
          <w:p w14:paraId="69161D8C" w14:textId="6F231E69" w:rsidR="00786F08" w:rsidRPr="00BE3017" w:rsidRDefault="00786F08" w:rsidP="00D94451">
            <w:pPr>
              <w:spacing w:after="100" w:line="240" w:lineRule="auto"/>
              <w:rPr>
                <w:b/>
                <w:sz w:val="24"/>
                <w:szCs w:val="24"/>
              </w:rPr>
            </w:pPr>
            <w:r>
              <w:rPr>
                <w:b/>
                <w:sz w:val="24"/>
              </w:rPr>
              <w:t>Contraste ou comparaison</w:t>
            </w:r>
          </w:p>
        </w:tc>
        <w:tc>
          <w:tcPr>
            <w:tcW w:w="4410" w:type="dxa"/>
          </w:tcPr>
          <w:p w14:paraId="107881E4" w14:textId="77777777" w:rsidR="00786F08" w:rsidRPr="00BE3017" w:rsidRDefault="00786F08" w:rsidP="00D94451">
            <w:pPr>
              <w:spacing w:after="100" w:line="240" w:lineRule="auto"/>
              <w:rPr>
                <w:sz w:val="18"/>
                <w:szCs w:val="18"/>
              </w:rPr>
            </w:pPr>
            <w:r>
              <w:rPr>
                <w:sz w:val="18"/>
              </w:rPr>
              <w:t>L’intervieweur(se) compare ou évalue l’ensemble des candidats et candidates en se basant sur une seule caractéristique. Si une personne est particulièrement médiocre, les autres pourraient sembler plus qualifiées qu’elles le sont vraiment.</w:t>
            </w:r>
          </w:p>
        </w:tc>
        <w:tc>
          <w:tcPr>
            <w:tcW w:w="3010" w:type="dxa"/>
          </w:tcPr>
          <w:p w14:paraId="7A1BCF3B" w14:textId="77777777" w:rsidR="00786F08" w:rsidRPr="00BE3017" w:rsidRDefault="00786F08" w:rsidP="00D94451">
            <w:pPr>
              <w:spacing w:after="100" w:line="240" w:lineRule="auto"/>
              <w:rPr>
                <w:sz w:val="18"/>
                <w:szCs w:val="18"/>
              </w:rPr>
            </w:pPr>
            <w:r>
              <w:rPr>
                <w:sz w:val="18"/>
              </w:rPr>
              <w:t>L’intervieweur(se) risque de favoriser une personne qui se montre sûre de son expérience plutôt qu’une personne qui est plus timide, mais plus compétente.</w:t>
            </w:r>
          </w:p>
        </w:tc>
        <w:tc>
          <w:tcPr>
            <w:tcW w:w="1760" w:type="dxa"/>
          </w:tcPr>
          <w:p w14:paraId="17EA0E9C" w14:textId="77777777" w:rsidR="00786F08" w:rsidRPr="00BE3017" w:rsidRDefault="00786F08" w:rsidP="00D94451">
            <w:pPr>
              <w:spacing w:after="100" w:line="240" w:lineRule="auto"/>
              <w:ind w:right="67"/>
              <w:rPr>
                <w:sz w:val="20"/>
                <w:szCs w:val="20"/>
              </w:rPr>
            </w:pPr>
          </w:p>
        </w:tc>
      </w:tr>
      <w:tr w:rsidR="00786F08" w:rsidRPr="00BE3017" w14:paraId="002A26DB" w14:textId="77777777" w:rsidTr="00A141D0">
        <w:trPr>
          <w:gridBefore w:val="1"/>
          <w:gridAfter w:val="1"/>
          <w:wBefore w:w="180" w:type="dxa"/>
          <w:wAfter w:w="196" w:type="dxa"/>
          <w:cantSplit/>
        </w:trPr>
        <w:tc>
          <w:tcPr>
            <w:tcW w:w="1800" w:type="dxa"/>
          </w:tcPr>
          <w:p w14:paraId="3D346388" w14:textId="3152862D" w:rsidR="00786F08" w:rsidRPr="00BE3017" w:rsidRDefault="00786F08" w:rsidP="00D94451">
            <w:pPr>
              <w:spacing w:after="100" w:line="240" w:lineRule="auto"/>
              <w:rPr>
                <w:b/>
                <w:sz w:val="24"/>
                <w:szCs w:val="24"/>
              </w:rPr>
            </w:pPr>
            <w:r>
              <w:rPr>
                <w:b/>
                <w:sz w:val="24"/>
              </w:rPr>
              <w:t>Stéréotypes</w:t>
            </w:r>
          </w:p>
        </w:tc>
        <w:tc>
          <w:tcPr>
            <w:tcW w:w="4410" w:type="dxa"/>
          </w:tcPr>
          <w:p w14:paraId="1DDB2955" w14:textId="77777777" w:rsidR="00786F08" w:rsidRPr="00BE3017" w:rsidRDefault="00786F08" w:rsidP="00D94451">
            <w:pPr>
              <w:spacing w:after="100" w:line="240" w:lineRule="auto"/>
              <w:rPr>
                <w:sz w:val="18"/>
                <w:szCs w:val="18"/>
              </w:rPr>
            </w:pPr>
            <w:r>
              <w:rPr>
                <w:sz w:val="18"/>
              </w:rPr>
              <w:t>L’intervieweur(se) suppose que le candidat ou la candidate présente certains traits en raison de son appartenance à un certain groupe.</w:t>
            </w:r>
          </w:p>
        </w:tc>
        <w:tc>
          <w:tcPr>
            <w:tcW w:w="3010" w:type="dxa"/>
          </w:tcPr>
          <w:p w14:paraId="7BCD5BF2" w14:textId="77777777" w:rsidR="00786F08" w:rsidRPr="00BE3017" w:rsidRDefault="00786F08" w:rsidP="00D94451">
            <w:pPr>
              <w:spacing w:after="100" w:line="240" w:lineRule="auto"/>
              <w:rPr>
                <w:sz w:val="18"/>
                <w:szCs w:val="18"/>
              </w:rPr>
            </w:pPr>
            <w:r>
              <w:rPr>
                <w:sz w:val="18"/>
              </w:rPr>
              <w:t>Les femmes ayant des enfants seront souvent absentes du travail. Un vétéran ou une vétérane ne s’adaptera pas bien au travail de bureau. Un candidat sera un meilleur leader qu’une candidate.</w:t>
            </w:r>
          </w:p>
        </w:tc>
        <w:tc>
          <w:tcPr>
            <w:tcW w:w="1760" w:type="dxa"/>
          </w:tcPr>
          <w:p w14:paraId="104D4A5A" w14:textId="77777777" w:rsidR="00786F08" w:rsidRPr="00BE3017" w:rsidRDefault="00786F08" w:rsidP="00D94451">
            <w:pPr>
              <w:spacing w:after="100" w:line="240" w:lineRule="auto"/>
              <w:ind w:right="67"/>
              <w:rPr>
                <w:sz w:val="20"/>
                <w:szCs w:val="20"/>
              </w:rPr>
            </w:pPr>
          </w:p>
        </w:tc>
      </w:tr>
      <w:tr w:rsidR="00786F08" w:rsidRPr="00BE3017" w14:paraId="2B47E242" w14:textId="77777777" w:rsidTr="00A141D0">
        <w:trPr>
          <w:gridBefore w:val="1"/>
          <w:gridAfter w:val="1"/>
          <w:wBefore w:w="180" w:type="dxa"/>
          <w:wAfter w:w="196" w:type="dxa"/>
          <w:cantSplit/>
        </w:trPr>
        <w:tc>
          <w:tcPr>
            <w:tcW w:w="1800" w:type="dxa"/>
          </w:tcPr>
          <w:p w14:paraId="67280C01" w14:textId="77777777" w:rsidR="00786F08" w:rsidRPr="00BE3017" w:rsidRDefault="00786F08" w:rsidP="00D94451">
            <w:pPr>
              <w:spacing w:after="100" w:line="240" w:lineRule="auto"/>
              <w:rPr>
                <w:b/>
                <w:sz w:val="24"/>
                <w:szCs w:val="24"/>
              </w:rPr>
            </w:pPr>
            <w:r>
              <w:rPr>
                <w:b/>
                <w:sz w:val="24"/>
              </w:rPr>
              <w:lastRenderedPageBreak/>
              <w:t>Effet de l’ordre ou de la primauté</w:t>
            </w:r>
          </w:p>
        </w:tc>
        <w:tc>
          <w:tcPr>
            <w:tcW w:w="4410" w:type="dxa"/>
          </w:tcPr>
          <w:p w14:paraId="0661833E" w14:textId="77777777" w:rsidR="00786F08" w:rsidRPr="00BE3017" w:rsidRDefault="00786F08" w:rsidP="00D94451">
            <w:pPr>
              <w:spacing w:after="100" w:line="240" w:lineRule="auto"/>
              <w:rPr>
                <w:sz w:val="18"/>
                <w:szCs w:val="18"/>
              </w:rPr>
            </w:pPr>
            <w:r>
              <w:rPr>
                <w:sz w:val="18"/>
              </w:rPr>
              <w:t>Cet effet se produit lorsque l’ordre dans lequel on reçoit un candidat ou une candidate en entrevue influe sur la perception de sa performance. L’intervieweur(se) se souvient plus clairement de la plus récente personne interviewée. Des recherches montrent qu’un candidat ou une candidate passable peut s’en sortir mieux si on l’interviewe tout de suite après un candidat ou une candidate médiocre.</w:t>
            </w:r>
          </w:p>
        </w:tc>
        <w:tc>
          <w:tcPr>
            <w:tcW w:w="3010" w:type="dxa"/>
          </w:tcPr>
          <w:p w14:paraId="65F4A52F" w14:textId="77777777" w:rsidR="00786F08" w:rsidRPr="00BE3017" w:rsidRDefault="00786F08" w:rsidP="00D94451">
            <w:pPr>
              <w:spacing w:after="100" w:line="240" w:lineRule="auto"/>
              <w:ind w:right="67"/>
              <w:rPr>
                <w:sz w:val="18"/>
                <w:szCs w:val="18"/>
              </w:rPr>
            </w:pPr>
            <w:r>
              <w:rPr>
                <w:sz w:val="18"/>
              </w:rPr>
              <w:t>L’intervieweur(se) se souvient de la plus récente personne interviewée plus clairement que des personnes interviewées plus tôt. Un outil d’entrevue structuré aide à contrer ce préjugé.</w:t>
            </w:r>
          </w:p>
        </w:tc>
        <w:tc>
          <w:tcPr>
            <w:tcW w:w="1760" w:type="dxa"/>
          </w:tcPr>
          <w:p w14:paraId="7571D6BC" w14:textId="77777777" w:rsidR="00786F08" w:rsidRPr="00BE3017" w:rsidRDefault="00786F08" w:rsidP="00D94451">
            <w:pPr>
              <w:spacing w:after="100" w:line="240" w:lineRule="auto"/>
              <w:ind w:right="67"/>
              <w:rPr>
                <w:sz w:val="20"/>
                <w:szCs w:val="20"/>
              </w:rPr>
            </w:pPr>
          </w:p>
        </w:tc>
      </w:tr>
      <w:tr w:rsidR="00786F08" w:rsidRPr="00BE3017" w14:paraId="0CD9050A" w14:textId="77777777" w:rsidTr="00A141D0">
        <w:trPr>
          <w:gridBefore w:val="1"/>
          <w:gridAfter w:val="1"/>
          <w:wBefore w:w="180" w:type="dxa"/>
          <w:wAfter w:w="196" w:type="dxa"/>
          <w:cantSplit/>
        </w:trPr>
        <w:tc>
          <w:tcPr>
            <w:tcW w:w="1800" w:type="dxa"/>
          </w:tcPr>
          <w:p w14:paraId="7FBFD078" w14:textId="77777777" w:rsidR="00786F08" w:rsidRPr="00BE3017" w:rsidRDefault="00786F08" w:rsidP="00D94451">
            <w:pPr>
              <w:spacing w:after="100" w:line="240" w:lineRule="auto"/>
              <w:rPr>
                <w:b/>
                <w:sz w:val="24"/>
                <w:szCs w:val="24"/>
              </w:rPr>
            </w:pPr>
            <w:r>
              <w:rPr>
                <w:b/>
                <w:sz w:val="24"/>
              </w:rPr>
              <w:t>Effet de l’indulgence ou de la sévérité</w:t>
            </w:r>
          </w:p>
        </w:tc>
        <w:tc>
          <w:tcPr>
            <w:tcW w:w="4410" w:type="dxa"/>
          </w:tcPr>
          <w:p w14:paraId="7CAD8B45" w14:textId="77777777" w:rsidR="00786F08" w:rsidRPr="00BE3017" w:rsidRDefault="00786F08" w:rsidP="00D94451">
            <w:pPr>
              <w:spacing w:after="100" w:line="240" w:lineRule="auto"/>
              <w:rPr>
                <w:sz w:val="18"/>
                <w:szCs w:val="18"/>
              </w:rPr>
            </w:pPr>
            <w:r>
              <w:rPr>
                <w:sz w:val="18"/>
              </w:rPr>
              <w:t>Cet effet se traduit par une tendance à donner une note élevée ou faible à l’ensemble des candidats et candidates.</w:t>
            </w:r>
          </w:p>
        </w:tc>
        <w:tc>
          <w:tcPr>
            <w:tcW w:w="3010" w:type="dxa"/>
          </w:tcPr>
          <w:p w14:paraId="28C4C3B0" w14:textId="77777777" w:rsidR="00786F08" w:rsidRPr="00BE3017" w:rsidRDefault="00786F08" w:rsidP="00D94451">
            <w:pPr>
              <w:spacing w:after="100" w:line="240" w:lineRule="auto"/>
              <w:ind w:right="67"/>
              <w:rPr>
                <w:sz w:val="18"/>
                <w:szCs w:val="18"/>
              </w:rPr>
            </w:pPr>
            <w:r>
              <w:rPr>
                <w:sz w:val="18"/>
              </w:rPr>
              <w:t>Mal à l’aise de donner une note faible, l’intervieweur(se) donne une note élevée à l’ensemble des candidats et candidates ou leur donne une note faible après avoir perçu un manque de compétence.</w:t>
            </w:r>
          </w:p>
        </w:tc>
        <w:tc>
          <w:tcPr>
            <w:tcW w:w="1760" w:type="dxa"/>
          </w:tcPr>
          <w:p w14:paraId="1F9406E3" w14:textId="77777777" w:rsidR="00786F08" w:rsidRPr="00BE3017" w:rsidRDefault="00786F08" w:rsidP="00D94451">
            <w:pPr>
              <w:spacing w:after="100" w:line="240" w:lineRule="auto"/>
              <w:ind w:right="67"/>
              <w:rPr>
                <w:sz w:val="20"/>
                <w:szCs w:val="20"/>
              </w:rPr>
            </w:pPr>
          </w:p>
        </w:tc>
      </w:tr>
      <w:tr w:rsidR="00786F08" w:rsidRPr="00BE3017" w14:paraId="30ADCCF5" w14:textId="77777777" w:rsidTr="00A141D0">
        <w:trPr>
          <w:gridBefore w:val="1"/>
          <w:gridAfter w:val="1"/>
          <w:wBefore w:w="180" w:type="dxa"/>
          <w:wAfter w:w="196" w:type="dxa"/>
          <w:cantSplit/>
        </w:trPr>
        <w:tc>
          <w:tcPr>
            <w:tcW w:w="1800" w:type="dxa"/>
            <w:tcBorders>
              <w:bottom w:val="single" w:sz="4" w:space="0" w:color="auto"/>
            </w:tcBorders>
          </w:tcPr>
          <w:p w14:paraId="15D8ACB9" w14:textId="6A86AA11" w:rsidR="00786F08" w:rsidRPr="00BE3017" w:rsidRDefault="00786F08" w:rsidP="00D94451">
            <w:pPr>
              <w:spacing w:after="100" w:line="240" w:lineRule="auto"/>
              <w:rPr>
                <w:b/>
                <w:sz w:val="24"/>
                <w:szCs w:val="24"/>
              </w:rPr>
            </w:pPr>
            <w:r>
              <w:rPr>
                <w:b/>
                <w:sz w:val="24"/>
              </w:rPr>
              <w:t>Interférences culturelles</w:t>
            </w:r>
          </w:p>
        </w:tc>
        <w:tc>
          <w:tcPr>
            <w:tcW w:w="4410" w:type="dxa"/>
            <w:tcBorders>
              <w:bottom w:val="single" w:sz="4" w:space="0" w:color="auto"/>
            </w:tcBorders>
          </w:tcPr>
          <w:p w14:paraId="34670575" w14:textId="77777777" w:rsidR="00786F08" w:rsidRPr="00BE3017" w:rsidRDefault="00561E77" w:rsidP="00D94451">
            <w:pPr>
              <w:spacing w:after="100" w:line="240" w:lineRule="auto"/>
              <w:rPr>
                <w:sz w:val="18"/>
                <w:szCs w:val="18"/>
              </w:rPr>
            </w:pPr>
            <w:r>
              <w:rPr>
                <w:sz w:val="18"/>
              </w:rPr>
              <w:t>On parle d’interférences culturelles lorsque les réponses du candidat ou de la candidate ne sont pas fondées sur des faits, mais socialement acceptables. En gros, la personne dit ce qu’elle croit que l’intervieweur(se) veut entendre ou ce qui lui assurera l’emploi.</w:t>
            </w:r>
          </w:p>
        </w:tc>
        <w:tc>
          <w:tcPr>
            <w:tcW w:w="3010" w:type="dxa"/>
            <w:tcBorders>
              <w:bottom w:val="single" w:sz="4" w:space="0" w:color="auto"/>
            </w:tcBorders>
          </w:tcPr>
          <w:p w14:paraId="6F492195" w14:textId="77777777" w:rsidR="00786F08" w:rsidRPr="00BE3017" w:rsidRDefault="00786F08" w:rsidP="00D94451">
            <w:pPr>
              <w:spacing w:after="100" w:line="240" w:lineRule="auto"/>
              <w:ind w:right="67"/>
              <w:rPr>
                <w:sz w:val="18"/>
                <w:szCs w:val="18"/>
              </w:rPr>
            </w:pPr>
            <w:r>
              <w:rPr>
                <w:sz w:val="18"/>
              </w:rPr>
              <w:t>L’intervieweur(se) réagit positivement aux réponses du candidat ou de la candidate qui vont de pair avec ses priorités.</w:t>
            </w:r>
          </w:p>
        </w:tc>
        <w:tc>
          <w:tcPr>
            <w:tcW w:w="1760" w:type="dxa"/>
            <w:tcBorders>
              <w:bottom w:val="single" w:sz="4" w:space="0" w:color="auto"/>
            </w:tcBorders>
          </w:tcPr>
          <w:p w14:paraId="639A474A" w14:textId="77777777" w:rsidR="00786F08" w:rsidRPr="00BE3017" w:rsidRDefault="00786F08" w:rsidP="00D94451">
            <w:pPr>
              <w:spacing w:after="100" w:line="240" w:lineRule="auto"/>
              <w:ind w:right="67"/>
              <w:rPr>
                <w:sz w:val="20"/>
                <w:szCs w:val="20"/>
              </w:rPr>
            </w:pPr>
          </w:p>
        </w:tc>
      </w:tr>
      <w:tr w:rsidR="00E730BD" w:rsidRPr="00BE3017" w14:paraId="20ACB7C2" w14:textId="77777777" w:rsidTr="00A141D0">
        <w:trPr>
          <w:gridBefore w:val="1"/>
          <w:gridAfter w:val="1"/>
          <w:wBefore w:w="180" w:type="dxa"/>
          <w:wAfter w:w="196" w:type="dxa"/>
          <w:cantSplit/>
        </w:trPr>
        <w:tc>
          <w:tcPr>
            <w:tcW w:w="1800" w:type="dxa"/>
            <w:tcBorders>
              <w:top w:val="single" w:sz="4" w:space="0" w:color="auto"/>
              <w:left w:val="single" w:sz="4" w:space="0" w:color="auto"/>
              <w:bottom w:val="single" w:sz="4" w:space="0" w:color="auto"/>
              <w:right w:val="single" w:sz="4" w:space="0" w:color="auto"/>
            </w:tcBorders>
          </w:tcPr>
          <w:p w14:paraId="169C9C23" w14:textId="77777777" w:rsidR="00786F08" w:rsidRPr="00BE3017" w:rsidRDefault="00786F08" w:rsidP="00D94451">
            <w:pPr>
              <w:spacing w:after="100" w:line="240" w:lineRule="auto"/>
              <w:rPr>
                <w:b/>
                <w:sz w:val="24"/>
                <w:szCs w:val="24"/>
              </w:rPr>
            </w:pPr>
            <w:r>
              <w:rPr>
                <w:b/>
                <w:sz w:val="24"/>
              </w:rPr>
              <w:t>Préjugés non verbaux</w:t>
            </w:r>
          </w:p>
        </w:tc>
        <w:tc>
          <w:tcPr>
            <w:tcW w:w="4410" w:type="dxa"/>
            <w:tcBorders>
              <w:top w:val="single" w:sz="4" w:space="0" w:color="auto"/>
              <w:left w:val="single" w:sz="4" w:space="0" w:color="auto"/>
              <w:bottom w:val="single" w:sz="4" w:space="0" w:color="auto"/>
              <w:right w:val="single" w:sz="4" w:space="0" w:color="auto"/>
            </w:tcBorders>
          </w:tcPr>
          <w:p w14:paraId="111EA8FC" w14:textId="77777777" w:rsidR="00786F08" w:rsidRPr="00BE3017" w:rsidRDefault="00786F08" w:rsidP="00D94451">
            <w:pPr>
              <w:spacing w:after="100" w:line="240" w:lineRule="auto"/>
              <w:rPr>
                <w:sz w:val="18"/>
                <w:szCs w:val="18"/>
              </w:rPr>
            </w:pPr>
            <w:r>
              <w:rPr>
                <w:sz w:val="18"/>
              </w:rPr>
              <w:t>Le langage corporel influence l’intervieweur(se).</w:t>
            </w:r>
          </w:p>
        </w:tc>
        <w:tc>
          <w:tcPr>
            <w:tcW w:w="3010" w:type="dxa"/>
            <w:tcBorders>
              <w:top w:val="single" w:sz="4" w:space="0" w:color="auto"/>
              <w:left w:val="single" w:sz="4" w:space="0" w:color="auto"/>
              <w:bottom w:val="single" w:sz="4" w:space="0" w:color="auto"/>
              <w:right w:val="single" w:sz="4" w:space="0" w:color="auto"/>
            </w:tcBorders>
          </w:tcPr>
          <w:p w14:paraId="60457CD9" w14:textId="77777777" w:rsidR="00786F08" w:rsidRPr="00BE3017" w:rsidRDefault="00786F08" w:rsidP="00D94451">
            <w:pPr>
              <w:spacing w:after="100" w:line="240" w:lineRule="auto"/>
              <w:ind w:right="67"/>
              <w:rPr>
                <w:sz w:val="18"/>
                <w:szCs w:val="18"/>
              </w:rPr>
            </w:pPr>
            <w:r>
              <w:rPr>
                <w:sz w:val="18"/>
              </w:rPr>
              <w:t>Longueur des cheveux, tatouages, poids, façon de parler, manières, vêtements, etc.</w:t>
            </w:r>
          </w:p>
        </w:tc>
        <w:tc>
          <w:tcPr>
            <w:tcW w:w="1760" w:type="dxa"/>
            <w:tcBorders>
              <w:top w:val="single" w:sz="4" w:space="0" w:color="auto"/>
              <w:left w:val="single" w:sz="4" w:space="0" w:color="auto"/>
              <w:bottom w:val="single" w:sz="4" w:space="0" w:color="auto"/>
              <w:right w:val="single" w:sz="4" w:space="0" w:color="auto"/>
            </w:tcBorders>
          </w:tcPr>
          <w:p w14:paraId="64D37E9A" w14:textId="77777777" w:rsidR="00786F08" w:rsidRPr="00BE3017" w:rsidRDefault="00786F08" w:rsidP="00D94451">
            <w:pPr>
              <w:spacing w:after="100" w:line="240" w:lineRule="auto"/>
              <w:ind w:right="67"/>
              <w:rPr>
                <w:sz w:val="20"/>
                <w:szCs w:val="20"/>
              </w:rPr>
            </w:pPr>
          </w:p>
        </w:tc>
      </w:tr>
      <w:tr w:rsidR="00786F08" w:rsidRPr="00236B34" w14:paraId="33AE1DCC" w14:textId="77777777" w:rsidTr="00136D91">
        <w:trPr>
          <w:cantSplit/>
        </w:trPr>
        <w:tc>
          <w:tcPr>
            <w:tcW w:w="11356" w:type="dxa"/>
            <w:gridSpan w:val="6"/>
            <w:tcBorders>
              <w:top w:val="nil"/>
              <w:left w:val="nil"/>
              <w:bottom w:val="nil"/>
              <w:right w:val="nil"/>
            </w:tcBorders>
          </w:tcPr>
          <w:p w14:paraId="14F5C5B3" w14:textId="4E17D7E1" w:rsidR="0080309D" w:rsidRPr="0084401F" w:rsidRDefault="0080309D" w:rsidP="00A141D0">
            <w:pPr>
              <w:spacing w:after="0" w:line="240" w:lineRule="auto"/>
              <w:rPr>
                <w:sz w:val="16"/>
                <w:szCs w:val="16"/>
              </w:rPr>
            </w:pPr>
          </w:p>
        </w:tc>
      </w:tr>
    </w:tbl>
    <w:p w14:paraId="3706A6F3" w14:textId="77777777" w:rsidR="00584587" w:rsidRPr="00236B34" w:rsidRDefault="00584587" w:rsidP="00584587">
      <w:pPr>
        <w:tabs>
          <w:tab w:val="left" w:pos="10319"/>
        </w:tabs>
        <w:spacing w:after="0" w:line="240" w:lineRule="auto"/>
        <w:ind w:left="-18"/>
        <w:rPr>
          <w:iCs/>
          <w:sz w:val="20"/>
          <w:szCs w:val="20"/>
        </w:rPr>
      </w:pPr>
      <w:r w:rsidRPr="00236B34">
        <w:rPr>
          <w:b/>
          <w:iCs/>
          <w:sz w:val="20"/>
          <w:szCs w:val="20"/>
        </w:rPr>
        <w:t>Pour en savoir plus</w:t>
      </w:r>
    </w:p>
    <w:p w14:paraId="153F80D0" w14:textId="77777777" w:rsidR="00584587" w:rsidRDefault="00584587" w:rsidP="00584587">
      <w:pPr>
        <w:tabs>
          <w:tab w:val="left" w:pos="10319"/>
        </w:tabs>
        <w:spacing w:after="0" w:line="240" w:lineRule="auto"/>
        <w:ind w:left="-18"/>
        <w:rPr>
          <w:iCs/>
          <w:sz w:val="20"/>
          <w:szCs w:val="20"/>
        </w:rPr>
      </w:pPr>
      <w:r w:rsidRPr="00236B34">
        <w:rPr>
          <w:iCs/>
          <w:sz w:val="20"/>
          <w:szCs w:val="20"/>
        </w:rPr>
        <w:t>Consultez le site Web d’</w:t>
      </w:r>
      <w:hyperlink r:id="rId7" w:history="1">
        <w:hyperlink r:id="rId8" w:anchor="/lessons/22rIr36htC7nhMEgi8Eq7YbGfz3PaKFB" w:history="1">
          <w:r w:rsidRPr="00236B34">
            <w:rPr>
              <w:rStyle w:val="Hyperlink"/>
              <w:iCs/>
              <w:sz w:val="20"/>
              <w:szCs w:val="20"/>
            </w:rPr>
            <w:t>Egale Canada</w:t>
          </w:r>
        </w:hyperlink>
      </w:hyperlink>
      <w:r w:rsidRPr="00236B34">
        <w:rPr>
          <w:iCs/>
          <w:sz w:val="20"/>
          <w:szCs w:val="20"/>
        </w:rPr>
        <w:t xml:space="preserve"> et d’</w:t>
      </w:r>
      <w:proofErr w:type="spellStart"/>
      <w:r w:rsidRPr="00236B34">
        <w:rPr>
          <w:iCs/>
          <w:sz w:val="20"/>
          <w:szCs w:val="20"/>
        </w:rPr>
        <w:fldChar w:fldCharType="begin"/>
      </w:r>
      <w:r w:rsidRPr="00236B34">
        <w:rPr>
          <w:iCs/>
          <w:sz w:val="20"/>
          <w:szCs w:val="20"/>
        </w:rPr>
        <w:instrText>HYPERLINK "https://www.aihr.com/blog/interviewer-bias/"</w:instrText>
      </w:r>
      <w:r w:rsidRPr="00236B34">
        <w:rPr>
          <w:iCs/>
          <w:sz w:val="20"/>
          <w:szCs w:val="20"/>
        </w:rPr>
      </w:r>
      <w:r w:rsidRPr="00236B34">
        <w:rPr>
          <w:iCs/>
          <w:sz w:val="20"/>
          <w:szCs w:val="20"/>
        </w:rPr>
        <w:fldChar w:fldCharType="separate"/>
      </w:r>
      <w:r w:rsidRPr="00236B34">
        <w:rPr>
          <w:rStyle w:val="Hyperlink"/>
          <w:iCs/>
          <w:sz w:val="20"/>
          <w:szCs w:val="20"/>
        </w:rPr>
        <w:t>Academy</w:t>
      </w:r>
      <w:proofErr w:type="spellEnd"/>
      <w:r w:rsidRPr="00236B34">
        <w:rPr>
          <w:rStyle w:val="Hyperlink"/>
          <w:iCs/>
          <w:sz w:val="20"/>
          <w:szCs w:val="20"/>
        </w:rPr>
        <w:t xml:space="preserve"> to </w:t>
      </w:r>
      <w:proofErr w:type="spellStart"/>
      <w:r w:rsidRPr="00236B34">
        <w:rPr>
          <w:rStyle w:val="Hyperlink"/>
          <w:iCs/>
          <w:sz w:val="20"/>
          <w:szCs w:val="20"/>
        </w:rPr>
        <w:t>Innovate</w:t>
      </w:r>
      <w:proofErr w:type="spellEnd"/>
      <w:r w:rsidRPr="00236B34">
        <w:rPr>
          <w:rStyle w:val="Hyperlink"/>
          <w:iCs/>
          <w:sz w:val="20"/>
          <w:szCs w:val="20"/>
        </w:rPr>
        <w:t xml:space="preserve"> HR</w:t>
      </w:r>
      <w:r w:rsidRPr="00236B34">
        <w:rPr>
          <w:iCs/>
          <w:sz w:val="20"/>
          <w:szCs w:val="20"/>
        </w:rPr>
        <w:fldChar w:fldCharType="end"/>
      </w:r>
      <w:r w:rsidRPr="00236B34">
        <w:rPr>
          <w:iCs/>
          <w:sz w:val="20"/>
          <w:szCs w:val="20"/>
        </w:rPr>
        <w:t xml:space="preserve"> pour vous informer gratuitement sur les préjugés.</w:t>
      </w:r>
    </w:p>
    <w:p w14:paraId="403D5872" w14:textId="77777777" w:rsidR="00584587" w:rsidRPr="0084401F" w:rsidRDefault="00584587" w:rsidP="00584587">
      <w:pPr>
        <w:tabs>
          <w:tab w:val="left" w:pos="10319"/>
        </w:tabs>
        <w:spacing w:after="0" w:line="240" w:lineRule="auto"/>
        <w:ind w:left="-18"/>
        <w:rPr>
          <w:iCs/>
          <w:sz w:val="16"/>
          <w:szCs w:val="16"/>
        </w:rPr>
      </w:pPr>
    </w:p>
    <w:p w14:paraId="0C76DFB0" w14:textId="77777777" w:rsidR="00584587" w:rsidRPr="00236B34" w:rsidRDefault="00584587" w:rsidP="00584587">
      <w:pPr>
        <w:tabs>
          <w:tab w:val="left" w:pos="10319"/>
        </w:tabs>
        <w:spacing w:after="0" w:line="240" w:lineRule="auto"/>
        <w:ind w:left="-18"/>
        <w:rPr>
          <w:b/>
          <w:sz w:val="20"/>
          <w:szCs w:val="20"/>
        </w:rPr>
      </w:pPr>
      <w:r w:rsidRPr="00236B34">
        <w:rPr>
          <w:b/>
          <w:sz w:val="20"/>
          <w:szCs w:val="20"/>
        </w:rPr>
        <w:t>Source</w:t>
      </w:r>
    </w:p>
    <w:p w14:paraId="47702759" w14:textId="77777777" w:rsidR="00584587" w:rsidRDefault="00584587" w:rsidP="00584587">
      <w:pPr>
        <w:tabs>
          <w:tab w:val="left" w:pos="10319"/>
        </w:tabs>
        <w:spacing w:after="0" w:line="240" w:lineRule="auto"/>
        <w:ind w:left="-18"/>
        <w:rPr>
          <w:sz w:val="20"/>
          <w:szCs w:val="20"/>
        </w:rPr>
      </w:pPr>
      <w:r w:rsidRPr="00236B34">
        <w:rPr>
          <w:sz w:val="20"/>
          <w:szCs w:val="20"/>
        </w:rPr>
        <w:t>Le tableau ci-dessus est le résultat de la consolidation du bon travail réalisé par d’innombrables spécialistes des ressources humaines, de la diversité, de l’équité et de l’inclusion, instructeurs et instructrices de pleine conscience et consultants, consultantes et agences de recrutement et d’embauche qui ont transmis leurs connaissances et les leçons apprises en luttant contre les préjugés inconscients dans les milieux de travail et, plus particulièrement, lors du processus de recrutement, d’entrevue et d’embauche.</w:t>
      </w:r>
    </w:p>
    <w:p w14:paraId="34A254F4" w14:textId="77777777" w:rsidR="00584587" w:rsidRPr="0084401F" w:rsidRDefault="00584587" w:rsidP="00584587">
      <w:pPr>
        <w:tabs>
          <w:tab w:val="left" w:pos="10319"/>
        </w:tabs>
        <w:spacing w:after="0" w:line="240" w:lineRule="auto"/>
        <w:ind w:left="-18"/>
        <w:rPr>
          <w:sz w:val="16"/>
          <w:szCs w:val="16"/>
        </w:rPr>
      </w:pPr>
    </w:p>
    <w:p w14:paraId="52A1E364" w14:textId="77777777" w:rsidR="00584587" w:rsidRPr="00236B34" w:rsidRDefault="00584587" w:rsidP="00584587">
      <w:pPr>
        <w:tabs>
          <w:tab w:val="left" w:pos="10319"/>
        </w:tabs>
        <w:spacing w:after="0" w:line="240" w:lineRule="auto"/>
        <w:rPr>
          <w:b/>
          <w:sz w:val="20"/>
          <w:szCs w:val="20"/>
        </w:rPr>
      </w:pPr>
      <w:r w:rsidRPr="00236B34">
        <w:rPr>
          <w:b/>
          <w:sz w:val="20"/>
          <w:szCs w:val="20"/>
        </w:rPr>
        <w:t>Ressources</w:t>
      </w:r>
    </w:p>
    <w:p w14:paraId="279D497F" w14:textId="77777777" w:rsidR="00584587" w:rsidRPr="00D94451" w:rsidRDefault="00584587" w:rsidP="00D94451">
      <w:pPr>
        <w:pStyle w:val="ListParagraph"/>
        <w:numPr>
          <w:ilvl w:val="0"/>
          <w:numId w:val="2"/>
        </w:numPr>
        <w:tabs>
          <w:tab w:val="left" w:pos="10319"/>
        </w:tabs>
        <w:spacing w:after="0" w:line="240" w:lineRule="auto"/>
        <w:ind w:left="180" w:hanging="180"/>
        <w:rPr>
          <w:sz w:val="20"/>
          <w:szCs w:val="20"/>
        </w:rPr>
      </w:pPr>
      <w:proofErr w:type="spellStart"/>
      <w:r w:rsidRPr="00D94451">
        <w:rPr>
          <w:sz w:val="20"/>
          <w:szCs w:val="20"/>
        </w:rPr>
        <w:t>Academy</w:t>
      </w:r>
      <w:proofErr w:type="spellEnd"/>
      <w:r w:rsidRPr="00D94451">
        <w:rPr>
          <w:sz w:val="20"/>
          <w:szCs w:val="20"/>
        </w:rPr>
        <w:t xml:space="preserve"> to </w:t>
      </w:r>
      <w:proofErr w:type="spellStart"/>
      <w:r w:rsidRPr="00D94451">
        <w:rPr>
          <w:sz w:val="20"/>
          <w:szCs w:val="20"/>
        </w:rPr>
        <w:t>Innovate</w:t>
      </w:r>
      <w:proofErr w:type="spellEnd"/>
      <w:r w:rsidRPr="00D94451">
        <w:rPr>
          <w:sz w:val="20"/>
          <w:szCs w:val="20"/>
        </w:rPr>
        <w:t xml:space="preserve"> HR : </w:t>
      </w:r>
      <w:hyperlink r:id="rId9" w:history="1">
        <w:r w:rsidRPr="00D94451">
          <w:rPr>
            <w:rStyle w:val="Hyperlink"/>
            <w:sz w:val="20"/>
            <w:szCs w:val="20"/>
          </w:rPr>
          <w:t>https://www.aihr.com/blog/interviewer-bias/</w:t>
        </w:r>
      </w:hyperlink>
    </w:p>
    <w:p w14:paraId="581962A1" w14:textId="77777777" w:rsidR="00584587" w:rsidRPr="00D94451" w:rsidRDefault="00584587" w:rsidP="00D94451">
      <w:pPr>
        <w:pStyle w:val="ListParagraph"/>
        <w:numPr>
          <w:ilvl w:val="0"/>
          <w:numId w:val="2"/>
        </w:numPr>
        <w:tabs>
          <w:tab w:val="left" w:pos="10319"/>
        </w:tabs>
        <w:spacing w:after="0" w:line="240" w:lineRule="auto"/>
        <w:ind w:left="180" w:hanging="180"/>
        <w:rPr>
          <w:sz w:val="20"/>
          <w:szCs w:val="20"/>
        </w:rPr>
      </w:pPr>
      <w:r w:rsidRPr="00D94451">
        <w:rPr>
          <w:sz w:val="20"/>
          <w:szCs w:val="20"/>
        </w:rPr>
        <w:t xml:space="preserve">Égale Canada – Cours sur les préjugés en entrevue (Défi 50-30) : </w:t>
      </w:r>
      <w:hyperlink r:id="rId10" w:anchor="/lessons/gHAQx-6_nbtZoL2Gp1e6K6QPU0fw3YdS" w:history="1">
        <w:r w:rsidRPr="00D94451">
          <w:rPr>
            <w:rStyle w:val="Hyperlink"/>
            <w:sz w:val="20"/>
            <w:szCs w:val="20"/>
          </w:rPr>
          <w:t>https://rise.articulate.com/share/fKbP4-FCBZ4IdtXOpyI2VcudDRimq9bS</w:t>
        </w:r>
      </w:hyperlink>
    </w:p>
    <w:p w14:paraId="60E99DFE" w14:textId="77777777" w:rsidR="00584587" w:rsidRPr="00D94451" w:rsidRDefault="00584587" w:rsidP="00D94451">
      <w:pPr>
        <w:pStyle w:val="ListParagraph"/>
        <w:numPr>
          <w:ilvl w:val="0"/>
          <w:numId w:val="2"/>
        </w:numPr>
        <w:spacing w:after="0" w:line="240" w:lineRule="auto"/>
        <w:ind w:left="180" w:hanging="180"/>
        <w:rPr>
          <w:sz w:val="20"/>
          <w:szCs w:val="20"/>
        </w:rPr>
      </w:pPr>
      <w:r w:rsidRPr="00D94451">
        <w:rPr>
          <w:sz w:val="20"/>
          <w:szCs w:val="20"/>
        </w:rPr>
        <w:t xml:space="preserve">Rapport de recherche intitulé </w:t>
      </w:r>
      <w:proofErr w:type="spellStart"/>
      <w:r w:rsidRPr="00D94451">
        <w:rPr>
          <w:i/>
          <w:iCs/>
          <w:sz w:val="20"/>
          <w:szCs w:val="20"/>
        </w:rPr>
        <w:t>Unconscious</w:t>
      </w:r>
      <w:proofErr w:type="spellEnd"/>
      <w:r w:rsidRPr="00D94451">
        <w:rPr>
          <w:i/>
          <w:iCs/>
          <w:sz w:val="20"/>
          <w:szCs w:val="20"/>
        </w:rPr>
        <w:t xml:space="preserve"> </w:t>
      </w:r>
      <w:proofErr w:type="spellStart"/>
      <w:r w:rsidRPr="00D94451">
        <w:rPr>
          <w:i/>
          <w:iCs/>
          <w:sz w:val="20"/>
          <w:szCs w:val="20"/>
        </w:rPr>
        <w:t>bias</w:t>
      </w:r>
      <w:proofErr w:type="spellEnd"/>
      <w:r w:rsidRPr="00D94451">
        <w:rPr>
          <w:i/>
          <w:iCs/>
          <w:sz w:val="20"/>
          <w:szCs w:val="20"/>
        </w:rPr>
        <w:t xml:space="preserve"> training: An </w:t>
      </w:r>
      <w:proofErr w:type="spellStart"/>
      <w:r w:rsidRPr="00D94451">
        <w:rPr>
          <w:i/>
          <w:iCs/>
          <w:sz w:val="20"/>
          <w:szCs w:val="20"/>
        </w:rPr>
        <w:t>assessment</w:t>
      </w:r>
      <w:proofErr w:type="spellEnd"/>
      <w:r w:rsidRPr="00D94451">
        <w:rPr>
          <w:i/>
          <w:iCs/>
          <w:sz w:val="20"/>
          <w:szCs w:val="20"/>
        </w:rPr>
        <w:t xml:space="preserve"> of the </w:t>
      </w:r>
      <w:proofErr w:type="spellStart"/>
      <w:r w:rsidRPr="00D94451">
        <w:rPr>
          <w:i/>
          <w:iCs/>
          <w:sz w:val="20"/>
          <w:szCs w:val="20"/>
        </w:rPr>
        <w:t>evidence</w:t>
      </w:r>
      <w:proofErr w:type="spellEnd"/>
      <w:r w:rsidRPr="00D94451">
        <w:rPr>
          <w:i/>
          <w:iCs/>
          <w:sz w:val="20"/>
          <w:szCs w:val="20"/>
        </w:rPr>
        <w:t xml:space="preserve"> for </w:t>
      </w:r>
      <w:proofErr w:type="spellStart"/>
      <w:r w:rsidRPr="00D94451">
        <w:rPr>
          <w:i/>
          <w:iCs/>
          <w:sz w:val="20"/>
          <w:szCs w:val="20"/>
        </w:rPr>
        <w:t>effectiveness</w:t>
      </w:r>
      <w:proofErr w:type="spellEnd"/>
      <w:r w:rsidRPr="00D94451">
        <w:rPr>
          <w:sz w:val="20"/>
          <w:szCs w:val="20"/>
        </w:rPr>
        <w:t xml:space="preserve"> : </w:t>
      </w:r>
      <w:hyperlink r:id="rId11" w:history="1">
        <w:r w:rsidRPr="00D94451">
          <w:rPr>
            <w:rStyle w:val="Hyperlink"/>
            <w:sz w:val="20"/>
            <w:szCs w:val="20"/>
          </w:rPr>
          <w:t>https://www.equalityhumanrights.com/en/publication-download/unconscious-bias-training-assessment-evidence-effectiveness</w:t>
        </w:r>
      </w:hyperlink>
    </w:p>
    <w:p w14:paraId="7D5EFB80" w14:textId="00558C9B" w:rsidR="00584587" w:rsidRPr="00D94451" w:rsidRDefault="00584587" w:rsidP="00D94451">
      <w:pPr>
        <w:pStyle w:val="ListParagraph"/>
        <w:numPr>
          <w:ilvl w:val="0"/>
          <w:numId w:val="2"/>
        </w:numPr>
        <w:spacing w:after="0" w:line="240" w:lineRule="auto"/>
        <w:ind w:left="180" w:hanging="180"/>
        <w:rPr>
          <w:sz w:val="20"/>
          <w:szCs w:val="20"/>
        </w:rPr>
      </w:pPr>
      <w:r w:rsidRPr="00D94451">
        <w:rPr>
          <w:sz w:val="20"/>
          <w:szCs w:val="20"/>
        </w:rPr>
        <w:t xml:space="preserve">Formation offerte aux gestionnaires responsables de l’embauche pour réduire les préjugés : </w:t>
      </w:r>
      <w:hyperlink r:id="rId12" w:history="1">
        <w:r w:rsidR="00D94451">
          <w:rPr>
            <w:rStyle w:val="Hyperlink"/>
            <w:sz w:val="20"/>
            <w:szCs w:val="20"/>
          </w:rPr>
          <w:t xml:space="preserve">https://cultureplusconsulting.com/ </w:t>
        </w:r>
        <w:proofErr w:type="spellStart"/>
        <w:r w:rsidR="00D94451">
          <w:rPr>
            <w:rStyle w:val="Hyperlink"/>
            <w:sz w:val="20"/>
            <w:szCs w:val="20"/>
          </w:rPr>
          <w:t>reduce</w:t>
        </w:r>
        <w:proofErr w:type="spellEnd"/>
        <w:r w:rsidR="00D94451">
          <w:rPr>
            <w:rStyle w:val="Hyperlink"/>
            <w:sz w:val="20"/>
            <w:szCs w:val="20"/>
          </w:rPr>
          <w:t>-</w:t>
        </w:r>
        <w:proofErr w:type="spellStart"/>
        <w:r w:rsidR="00D94451">
          <w:rPr>
            <w:rStyle w:val="Hyperlink"/>
            <w:sz w:val="20"/>
            <w:szCs w:val="20"/>
          </w:rPr>
          <w:t>bias</w:t>
        </w:r>
        <w:proofErr w:type="spellEnd"/>
        <w:r w:rsidR="00D94451">
          <w:rPr>
            <w:rStyle w:val="Hyperlink"/>
            <w:sz w:val="20"/>
            <w:szCs w:val="20"/>
          </w:rPr>
          <w:t>-training-for-</w:t>
        </w:r>
        <w:proofErr w:type="spellStart"/>
        <w:r w:rsidR="00D94451">
          <w:rPr>
            <w:rStyle w:val="Hyperlink"/>
            <w:sz w:val="20"/>
            <w:szCs w:val="20"/>
          </w:rPr>
          <w:t>hiring</w:t>
        </w:r>
        <w:proofErr w:type="spellEnd"/>
        <w:r w:rsidR="00D94451">
          <w:rPr>
            <w:rStyle w:val="Hyperlink"/>
            <w:sz w:val="20"/>
            <w:szCs w:val="20"/>
          </w:rPr>
          <w:t>-managers/</w:t>
        </w:r>
      </w:hyperlink>
    </w:p>
    <w:p w14:paraId="3FE362B9" w14:textId="77777777" w:rsidR="00584587" w:rsidRPr="00D94451" w:rsidRDefault="00584587" w:rsidP="00D94451">
      <w:pPr>
        <w:pStyle w:val="ListParagraph"/>
        <w:numPr>
          <w:ilvl w:val="0"/>
          <w:numId w:val="2"/>
        </w:numPr>
        <w:spacing w:after="0" w:line="240" w:lineRule="auto"/>
        <w:ind w:left="180" w:hanging="180"/>
        <w:rPr>
          <w:sz w:val="20"/>
          <w:szCs w:val="20"/>
        </w:rPr>
      </w:pPr>
      <w:r w:rsidRPr="00D94451">
        <w:rPr>
          <w:sz w:val="20"/>
          <w:szCs w:val="20"/>
        </w:rPr>
        <w:t xml:space="preserve">Article sur le recrutement inclusif pour optimiser l’inclusion : </w:t>
      </w:r>
      <w:hyperlink r:id="rId13" w:history="1">
        <w:r w:rsidRPr="00D94451">
          <w:rPr>
            <w:rStyle w:val="Hyperlink"/>
            <w:sz w:val="20"/>
            <w:szCs w:val="20"/>
          </w:rPr>
          <w:t>https://cultureplusconsulting.com/2019/06/11/inclusive-recruitment/</w:t>
        </w:r>
      </w:hyperlink>
    </w:p>
    <w:p w14:paraId="114F2B8D" w14:textId="77777777" w:rsidR="00584587" w:rsidRPr="00D94451" w:rsidRDefault="00584587" w:rsidP="00D94451">
      <w:pPr>
        <w:pStyle w:val="ListParagraph"/>
        <w:numPr>
          <w:ilvl w:val="0"/>
          <w:numId w:val="2"/>
        </w:numPr>
        <w:spacing w:after="0" w:line="240" w:lineRule="auto"/>
        <w:ind w:left="180" w:hanging="180"/>
        <w:rPr>
          <w:sz w:val="20"/>
          <w:szCs w:val="20"/>
        </w:rPr>
      </w:pPr>
      <w:r w:rsidRPr="00D94451">
        <w:rPr>
          <w:sz w:val="20"/>
          <w:szCs w:val="20"/>
        </w:rPr>
        <w:t xml:space="preserve">16 exemples de préjugés inconscients et moyens de les surmonter : </w:t>
      </w:r>
      <w:hyperlink r:id="rId14" w:history="1">
        <w:r w:rsidRPr="00D94451">
          <w:rPr>
            <w:rStyle w:val="Hyperlink"/>
            <w:sz w:val="20"/>
            <w:szCs w:val="20"/>
          </w:rPr>
          <w:t>https://builtin.com/diversity-inclusion/unconscious-bias-examples</w:t>
        </w:r>
      </w:hyperlink>
    </w:p>
    <w:p w14:paraId="2546799F" w14:textId="77777777" w:rsidR="00584587" w:rsidRPr="00D94451" w:rsidRDefault="00584587" w:rsidP="00D94451">
      <w:pPr>
        <w:pStyle w:val="ListParagraph"/>
        <w:numPr>
          <w:ilvl w:val="0"/>
          <w:numId w:val="2"/>
        </w:numPr>
        <w:spacing w:after="0" w:line="240" w:lineRule="auto"/>
        <w:ind w:left="180" w:hanging="180"/>
        <w:rPr>
          <w:sz w:val="20"/>
          <w:szCs w:val="20"/>
        </w:rPr>
      </w:pPr>
      <w:r w:rsidRPr="00D94451">
        <w:rPr>
          <w:sz w:val="20"/>
          <w:szCs w:val="20"/>
        </w:rPr>
        <w:t xml:space="preserve">Article intitulé </w:t>
      </w:r>
      <w:proofErr w:type="spellStart"/>
      <w:r w:rsidRPr="00D94451">
        <w:rPr>
          <w:i/>
          <w:iCs/>
          <w:sz w:val="20"/>
          <w:szCs w:val="20"/>
        </w:rPr>
        <w:t>Implicit</w:t>
      </w:r>
      <w:proofErr w:type="spellEnd"/>
      <w:r w:rsidRPr="00D94451">
        <w:rPr>
          <w:i/>
          <w:iCs/>
          <w:sz w:val="20"/>
          <w:szCs w:val="20"/>
        </w:rPr>
        <w:t xml:space="preserve"> </w:t>
      </w:r>
      <w:proofErr w:type="spellStart"/>
      <w:r w:rsidRPr="00D94451">
        <w:rPr>
          <w:i/>
          <w:iCs/>
          <w:sz w:val="20"/>
          <w:szCs w:val="20"/>
        </w:rPr>
        <w:t>bias</w:t>
      </w:r>
      <w:proofErr w:type="spellEnd"/>
      <w:r w:rsidRPr="00D94451">
        <w:rPr>
          <w:i/>
          <w:iCs/>
          <w:sz w:val="20"/>
          <w:szCs w:val="20"/>
        </w:rPr>
        <w:t xml:space="preserve"> </w:t>
      </w:r>
      <w:proofErr w:type="spellStart"/>
      <w:r w:rsidRPr="00D94451">
        <w:rPr>
          <w:i/>
          <w:iCs/>
          <w:sz w:val="20"/>
          <w:szCs w:val="20"/>
        </w:rPr>
        <w:t>means</w:t>
      </w:r>
      <w:proofErr w:type="spellEnd"/>
      <w:r w:rsidRPr="00D94451">
        <w:rPr>
          <w:i/>
          <w:iCs/>
          <w:sz w:val="20"/>
          <w:szCs w:val="20"/>
        </w:rPr>
        <w:t xml:space="preserve"> </w:t>
      </w:r>
      <w:proofErr w:type="spellStart"/>
      <w:r w:rsidRPr="00D94451">
        <w:rPr>
          <w:i/>
          <w:iCs/>
          <w:sz w:val="20"/>
          <w:szCs w:val="20"/>
        </w:rPr>
        <w:t>we’re</w:t>
      </w:r>
      <w:proofErr w:type="spellEnd"/>
      <w:r w:rsidRPr="00D94451">
        <w:rPr>
          <w:i/>
          <w:iCs/>
          <w:sz w:val="20"/>
          <w:szCs w:val="20"/>
        </w:rPr>
        <w:t xml:space="preserve"> all </w:t>
      </w:r>
      <w:proofErr w:type="spellStart"/>
      <w:r w:rsidRPr="00D94451">
        <w:rPr>
          <w:i/>
          <w:iCs/>
          <w:sz w:val="20"/>
          <w:szCs w:val="20"/>
        </w:rPr>
        <w:t>probably</w:t>
      </w:r>
      <w:proofErr w:type="spellEnd"/>
      <w:r w:rsidRPr="00D94451">
        <w:rPr>
          <w:i/>
          <w:iCs/>
          <w:sz w:val="20"/>
          <w:szCs w:val="20"/>
        </w:rPr>
        <w:t xml:space="preserve"> at least a </w:t>
      </w:r>
      <w:proofErr w:type="spellStart"/>
      <w:r w:rsidRPr="00D94451">
        <w:rPr>
          <w:i/>
          <w:iCs/>
          <w:sz w:val="20"/>
          <w:szCs w:val="20"/>
        </w:rPr>
        <w:t>little</w:t>
      </w:r>
      <w:proofErr w:type="spellEnd"/>
      <w:r w:rsidRPr="00D94451">
        <w:rPr>
          <w:i/>
          <w:iCs/>
          <w:sz w:val="20"/>
          <w:szCs w:val="20"/>
        </w:rPr>
        <w:t xml:space="preserve"> bit </w:t>
      </w:r>
      <w:proofErr w:type="spellStart"/>
      <w:r w:rsidRPr="00D94451">
        <w:rPr>
          <w:i/>
          <w:iCs/>
          <w:sz w:val="20"/>
          <w:szCs w:val="20"/>
        </w:rPr>
        <w:t>racist</w:t>
      </w:r>
      <w:proofErr w:type="spellEnd"/>
      <w:r w:rsidRPr="00D94451">
        <w:rPr>
          <w:sz w:val="20"/>
          <w:szCs w:val="20"/>
        </w:rPr>
        <w:t xml:space="preserve"> : </w:t>
      </w:r>
      <w:hyperlink r:id="rId15" w:history="1">
        <w:r w:rsidRPr="00D94451">
          <w:rPr>
            <w:rStyle w:val="Hyperlink"/>
            <w:sz w:val="20"/>
            <w:szCs w:val="20"/>
          </w:rPr>
          <w:t>https://www.vox.com/2014/12/26/7443979/racism-implicit-racial-bias</w:t>
        </w:r>
      </w:hyperlink>
    </w:p>
    <w:p w14:paraId="1BB4817C" w14:textId="77777777" w:rsidR="00584587" w:rsidRPr="00D94451" w:rsidRDefault="00584587" w:rsidP="00D94451">
      <w:pPr>
        <w:pStyle w:val="ListParagraph"/>
        <w:numPr>
          <w:ilvl w:val="0"/>
          <w:numId w:val="2"/>
        </w:numPr>
        <w:spacing w:after="0" w:line="240" w:lineRule="auto"/>
        <w:ind w:left="180" w:hanging="180"/>
        <w:rPr>
          <w:sz w:val="20"/>
          <w:szCs w:val="20"/>
        </w:rPr>
      </w:pPr>
      <w:r w:rsidRPr="00D94451">
        <w:rPr>
          <w:sz w:val="20"/>
          <w:szCs w:val="20"/>
        </w:rPr>
        <w:t xml:space="preserve">Projet </w:t>
      </w:r>
      <w:proofErr w:type="spellStart"/>
      <w:r w:rsidRPr="00D94451">
        <w:rPr>
          <w:i/>
          <w:iCs/>
          <w:sz w:val="20"/>
          <w:szCs w:val="20"/>
        </w:rPr>
        <w:t>Implicit</w:t>
      </w:r>
      <w:proofErr w:type="spellEnd"/>
      <w:r w:rsidRPr="00D94451">
        <w:rPr>
          <w:sz w:val="20"/>
          <w:szCs w:val="20"/>
        </w:rPr>
        <w:t xml:space="preserve"> : </w:t>
      </w:r>
      <w:hyperlink r:id="rId16" w:history="1">
        <w:r w:rsidRPr="00D94451">
          <w:rPr>
            <w:rStyle w:val="Hyperlink"/>
            <w:sz w:val="20"/>
            <w:szCs w:val="20"/>
          </w:rPr>
          <w:t>https://implicit.harvard.edu/implicit/research/</w:t>
        </w:r>
      </w:hyperlink>
    </w:p>
    <w:p w14:paraId="76D838C7" w14:textId="090F3428" w:rsidR="00584587" w:rsidRPr="00D94451" w:rsidRDefault="00584587" w:rsidP="00D94451">
      <w:pPr>
        <w:pStyle w:val="ListParagraph"/>
        <w:numPr>
          <w:ilvl w:val="0"/>
          <w:numId w:val="2"/>
        </w:numPr>
        <w:spacing w:after="0" w:line="240" w:lineRule="auto"/>
        <w:ind w:left="180" w:hanging="180"/>
        <w:rPr>
          <w:sz w:val="20"/>
          <w:szCs w:val="20"/>
        </w:rPr>
      </w:pPr>
      <w:r w:rsidRPr="00D94451">
        <w:rPr>
          <w:sz w:val="20"/>
          <w:szCs w:val="20"/>
        </w:rPr>
        <w:t xml:space="preserve">Vidéo intitulée </w:t>
      </w:r>
      <w:r w:rsidRPr="00D94451">
        <w:rPr>
          <w:i/>
          <w:iCs/>
          <w:sz w:val="20"/>
          <w:szCs w:val="20"/>
        </w:rPr>
        <w:t xml:space="preserve">A </w:t>
      </w:r>
      <w:proofErr w:type="spellStart"/>
      <w:r w:rsidRPr="00D94451">
        <w:rPr>
          <w:i/>
          <w:iCs/>
          <w:sz w:val="20"/>
          <w:szCs w:val="20"/>
        </w:rPr>
        <w:t>Meditation</w:t>
      </w:r>
      <w:proofErr w:type="spellEnd"/>
      <w:r w:rsidRPr="00D94451">
        <w:rPr>
          <w:i/>
          <w:iCs/>
          <w:sz w:val="20"/>
          <w:szCs w:val="20"/>
        </w:rPr>
        <w:t xml:space="preserve"> Practice to Combat </w:t>
      </w:r>
      <w:proofErr w:type="spellStart"/>
      <w:r w:rsidRPr="00D94451">
        <w:rPr>
          <w:i/>
          <w:iCs/>
          <w:sz w:val="20"/>
          <w:szCs w:val="20"/>
        </w:rPr>
        <w:t>Implicit</w:t>
      </w:r>
      <w:proofErr w:type="spellEnd"/>
      <w:r w:rsidRPr="00D94451">
        <w:rPr>
          <w:i/>
          <w:iCs/>
          <w:sz w:val="20"/>
          <w:szCs w:val="20"/>
        </w:rPr>
        <w:t xml:space="preserve"> </w:t>
      </w:r>
      <w:proofErr w:type="spellStart"/>
      <w:r w:rsidRPr="00D94451">
        <w:rPr>
          <w:i/>
          <w:iCs/>
          <w:sz w:val="20"/>
          <w:szCs w:val="20"/>
        </w:rPr>
        <w:t>Bias</w:t>
      </w:r>
      <w:proofErr w:type="spellEnd"/>
      <w:r w:rsidRPr="00D94451">
        <w:rPr>
          <w:i/>
          <w:iCs/>
          <w:sz w:val="20"/>
          <w:szCs w:val="20"/>
        </w:rPr>
        <w:t xml:space="preserve"> and Promote </w:t>
      </w:r>
      <w:proofErr w:type="spellStart"/>
      <w:r w:rsidRPr="00D94451">
        <w:rPr>
          <w:i/>
          <w:iCs/>
          <w:sz w:val="20"/>
          <w:szCs w:val="20"/>
        </w:rPr>
        <w:t>Mindfulness</w:t>
      </w:r>
      <w:proofErr w:type="spellEnd"/>
      <w:r w:rsidRPr="00D94451">
        <w:rPr>
          <w:sz w:val="20"/>
          <w:szCs w:val="20"/>
        </w:rPr>
        <w:t xml:space="preserve"> (sous-titres français offerts) : </w:t>
      </w:r>
      <w:hyperlink r:id="rId17" w:history="1">
        <w:r w:rsidR="00D94451">
          <w:rPr>
            <w:rStyle w:val="Hyperlink"/>
            <w:sz w:val="20"/>
            <w:szCs w:val="20"/>
          </w:rPr>
          <w:t>https://www.youtube.com/watch?v=vS_OwzHHXtQ</w:t>
        </w:r>
      </w:hyperlink>
    </w:p>
    <w:p w14:paraId="6007161D" w14:textId="77777777" w:rsidR="00584587" w:rsidRPr="00D94451" w:rsidRDefault="00584587" w:rsidP="00D94451">
      <w:pPr>
        <w:pStyle w:val="ListParagraph"/>
        <w:numPr>
          <w:ilvl w:val="0"/>
          <w:numId w:val="2"/>
        </w:numPr>
        <w:spacing w:after="0" w:line="240" w:lineRule="auto"/>
        <w:ind w:left="180" w:hanging="180"/>
        <w:rPr>
          <w:sz w:val="20"/>
          <w:szCs w:val="20"/>
        </w:rPr>
      </w:pPr>
      <w:r w:rsidRPr="00D94451">
        <w:rPr>
          <w:sz w:val="20"/>
          <w:szCs w:val="20"/>
        </w:rPr>
        <w:t xml:space="preserve">Vidéo intitulée </w:t>
      </w:r>
      <w:proofErr w:type="spellStart"/>
      <w:r w:rsidRPr="00D94451">
        <w:rPr>
          <w:i/>
          <w:iCs/>
          <w:sz w:val="20"/>
          <w:szCs w:val="20"/>
        </w:rPr>
        <w:t>Mindfulness</w:t>
      </w:r>
      <w:proofErr w:type="spellEnd"/>
      <w:r w:rsidRPr="00D94451">
        <w:rPr>
          <w:i/>
          <w:iCs/>
          <w:sz w:val="20"/>
          <w:szCs w:val="20"/>
        </w:rPr>
        <w:t xml:space="preserve"> and </w:t>
      </w:r>
      <w:proofErr w:type="spellStart"/>
      <w:r w:rsidRPr="00D94451">
        <w:rPr>
          <w:i/>
          <w:iCs/>
          <w:sz w:val="20"/>
          <w:szCs w:val="20"/>
        </w:rPr>
        <w:t>Bias</w:t>
      </w:r>
      <w:proofErr w:type="spellEnd"/>
      <w:r w:rsidRPr="00D94451">
        <w:rPr>
          <w:sz w:val="20"/>
          <w:szCs w:val="20"/>
        </w:rPr>
        <w:t xml:space="preserve"> : </w:t>
      </w:r>
      <w:hyperlink r:id="rId18" w:history="1">
        <w:r w:rsidRPr="00D94451">
          <w:rPr>
            <w:rStyle w:val="Hyperlink"/>
            <w:sz w:val="20"/>
            <w:szCs w:val="20"/>
          </w:rPr>
          <w:t>https://www.youtube.com/watch?v=6ljbYkIrWKk</w:t>
        </w:r>
      </w:hyperlink>
    </w:p>
    <w:p w14:paraId="0AE83F10" w14:textId="77777777" w:rsidR="00584587" w:rsidRPr="00D94451" w:rsidRDefault="00584587" w:rsidP="00D94451">
      <w:pPr>
        <w:pStyle w:val="ListParagraph"/>
        <w:numPr>
          <w:ilvl w:val="0"/>
          <w:numId w:val="2"/>
        </w:numPr>
        <w:spacing w:after="0" w:line="240" w:lineRule="auto"/>
        <w:ind w:left="180" w:hanging="180"/>
        <w:rPr>
          <w:sz w:val="20"/>
          <w:szCs w:val="20"/>
        </w:rPr>
      </w:pPr>
      <w:r w:rsidRPr="00D94451">
        <w:rPr>
          <w:sz w:val="20"/>
          <w:szCs w:val="20"/>
        </w:rPr>
        <w:t xml:space="preserve">Article intitulé </w:t>
      </w:r>
      <w:r w:rsidRPr="00D94451">
        <w:rPr>
          <w:i/>
          <w:iCs/>
          <w:sz w:val="20"/>
          <w:szCs w:val="20"/>
        </w:rPr>
        <w:t>Long-</w:t>
      </w:r>
      <w:proofErr w:type="spellStart"/>
      <w:r w:rsidRPr="00D94451">
        <w:rPr>
          <w:i/>
          <w:iCs/>
          <w:sz w:val="20"/>
          <w:szCs w:val="20"/>
        </w:rPr>
        <w:t>term</w:t>
      </w:r>
      <w:proofErr w:type="spellEnd"/>
      <w:r w:rsidRPr="00D94451">
        <w:rPr>
          <w:i/>
          <w:iCs/>
          <w:sz w:val="20"/>
          <w:szCs w:val="20"/>
        </w:rPr>
        <w:t xml:space="preserve"> </w:t>
      </w:r>
      <w:proofErr w:type="spellStart"/>
      <w:r w:rsidRPr="00D94451">
        <w:rPr>
          <w:i/>
          <w:iCs/>
          <w:sz w:val="20"/>
          <w:szCs w:val="20"/>
        </w:rPr>
        <w:t>reduction</w:t>
      </w:r>
      <w:proofErr w:type="spellEnd"/>
      <w:r w:rsidRPr="00D94451">
        <w:rPr>
          <w:i/>
          <w:iCs/>
          <w:sz w:val="20"/>
          <w:szCs w:val="20"/>
        </w:rPr>
        <w:t xml:space="preserve"> in </w:t>
      </w:r>
      <w:proofErr w:type="spellStart"/>
      <w:r w:rsidRPr="00D94451">
        <w:rPr>
          <w:i/>
          <w:iCs/>
          <w:sz w:val="20"/>
          <w:szCs w:val="20"/>
        </w:rPr>
        <w:t>implicit</w:t>
      </w:r>
      <w:proofErr w:type="spellEnd"/>
      <w:r w:rsidRPr="00D94451">
        <w:rPr>
          <w:i/>
          <w:iCs/>
          <w:sz w:val="20"/>
          <w:szCs w:val="20"/>
        </w:rPr>
        <w:t xml:space="preserve"> race </w:t>
      </w:r>
      <w:proofErr w:type="spellStart"/>
      <w:r w:rsidRPr="00D94451">
        <w:rPr>
          <w:i/>
          <w:iCs/>
          <w:sz w:val="20"/>
          <w:szCs w:val="20"/>
        </w:rPr>
        <w:t>bias</w:t>
      </w:r>
      <w:proofErr w:type="spellEnd"/>
      <w:r w:rsidRPr="00D94451">
        <w:rPr>
          <w:i/>
          <w:iCs/>
          <w:sz w:val="20"/>
          <w:szCs w:val="20"/>
        </w:rPr>
        <w:t xml:space="preserve">: A </w:t>
      </w:r>
      <w:proofErr w:type="spellStart"/>
      <w:r w:rsidRPr="00D94451">
        <w:rPr>
          <w:i/>
          <w:iCs/>
          <w:sz w:val="20"/>
          <w:szCs w:val="20"/>
        </w:rPr>
        <w:t>prejudice</w:t>
      </w:r>
      <w:proofErr w:type="spellEnd"/>
      <w:r w:rsidRPr="00D94451">
        <w:rPr>
          <w:i/>
          <w:iCs/>
          <w:sz w:val="20"/>
          <w:szCs w:val="20"/>
        </w:rPr>
        <w:t xml:space="preserve"> habit-</w:t>
      </w:r>
      <w:proofErr w:type="spellStart"/>
      <w:r w:rsidRPr="00D94451">
        <w:rPr>
          <w:i/>
          <w:iCs/>
          <w:sz w:val="20"/>
          <w:szCs w:val="20"/>
        </w:rPr>
        <w:t>breaking</w:t>
      </w:r>
      <w:proofErr w:type="spellEnd"/>
      <w:r w:rsidRPr="00D94451">
        <w:rPr>
          <w:i/>
          <w:iCs/>
          <w:sz w:val="20"/>
          <w:szCs w:val="20"/>
        </w:rPr>
        <w:t xml:space="preserve"> intervention</w:t>
      </w:r>
      <w:r w:rsidRPr="00D94451">
        <w:rPr>
          <w:sz w:val="20"/>
          <w:szCs w:val="20"/>
        </w:rPr>
        <w:t xml:space="preserve"> : </w:t>
      </w:r>
      <w:hyperlink r:id="rId19" w:history="1">
        <w:r w:rsidRPr="00D94451">
          <w:rPr>
            <w:rStyle w:val="Hyperlink"/>
            <w:sz w:val="20"/>
            <w:szCs w:val="20"/>
          </w:rPr>
          <w:t>https://www.sciencedirect.com/science/article/abs/pii/S0022103112001369</w:t>
        </w:r>
      </w:hyperlink>
    </w:p>
    <w:p w14:paraId="0AC80B34" w14:textId="77777777" w:rsidR="00584587" w:rsidRPr="00D94451" w:rsidRDefault="00584587" w:rsidP="00D94451">
      <w:pPr>
        <w:pStyle w:val="ListParagraph"/>
        <w:numPr>
          <w:ilvl w:val="0"/>
          <w:numId w:val="2"/>
        </w:numPr>
        <w:spacing w:after="0" w:line="240" w:lineRule="auto"/>
        <w:ind w:left="180" w:hanging="180"/>
        <w:rPr>
          <w:sz w:val="20"/>
          <w:szCs w:val="20"/>
        </w:rPr>
      </w:pPr>
      <w:r w:rsidRPr="00D94451">
        <w:rPr>
          <w:sz w:val="20"/>
          <w:szCs w:val="20"/>
        </w:rPr>
        <w:t xml:space="preserve">Entretien audio sur la visualisation en pleine conscience et les préjugés inconscients : </w:t>
      </w:r>
      <w:hyperlink r:id="rId20" w:history="1">
        <w:r w:rsidRPr="00D94451">
          <w:rPr>
            <w:rStyle w:val="Hyperlink"/>
            <w:sz w:val="20"/>
            <w:szCs w:val="20"/>
          </w:rPr>
          <w:t>https://soundcloud.com/mindfulschools/online-live-sit-and-qa-on-implicit-bias-with-grace-helms-kotre</w:t>
        </w:r>
      </w:hyperlink>
    </w:p>
    <w:p w14:paraId="39B9F6AC" w14:textId="0D4297AA" w:rsidR="00EF4B5C" w:rsidRPr="00D94451" w:rsidRDefault="00584587" w:rsidP="00D94451">
      <w:pPr>
        <w:pStyle w:val="ListParagraph"/>
        <w:numPr>
          <w:ilvl w:val="0"/>
          <w:numId w:val="2"/>
        </w:numPr>
        <w:spacing w:after="0" w:line="240" w:lineRule="auto"/>
        <w:ind w:left="180" w:hanging="180"/>
        <w:rPr>
          <w:sz w:val="20"/>
          <w:szCs w:val="20"/>
        </w:rPr>
      </w:pPr>
      <w:r w:rsidRPr="00D94451">
        <w:rPr>
          <w:sz w:val="20"/>
          <w:szCs w:val="20"/>
        </w:rPr>
        <w:t xml:space="preserve">Six stratégies éprouvées pour gérer les préjugés inconscients (INCLUDE-EMPOWER.COM) : </w:t>
      </w:r>
      <w:hyperlink r:id="rId21" w:history="1">
        <w:r w:rsidR="00D94451">
          <w:rPr>
            <w:rStyle w:val="Hyperlink"/>
            <w:sz w:val="20"/>
            <w:szCs w:val="20"/>
          </w:rPr>
          <w:t>https://cultureplusconsulting.com/2018/ 10/17/six-</w:t>
        </w:r>
        <w:proofErr w:type="spellStart"/>
        <w:r w:rsidR="00D94451">
          <w:rPr>
            <w:rStyle w:val="Hyperlink"/>
            <w:sz w:val="20"/>
            <w:szCs w:val="20"/>
          </w:rPr>
          <w:t>proven</w:t>
        </w:r>
        <w:proofErr w:type="spellEnd"/>
        <w:r w:rsidR="00D94451">
          <w:rPr>
            <w:rStyle w:val="Hyperlink"/>
            <w:sz w:val="20"/>
            <w:szCs w:val="20"/>
          </w:rPr>
          <w:t>-</w:t>
        </w:r>
        <w:proofErr w:type="spellStart"/>
        <w:r w:rsidR="00D94451">
          <w:rPr>
            <w:rStyle w:val="Hyperlink"/>
            <w:sz w:val="20"/>
            <w:szCs w:val="20"/>
          </w:rPr>
          <w:t>strategies</w:t>
        </w:r>
        <w:proofErr w:type="spellEnd"/>
        <w:r w:rsidR="00D94451">
          <w:rPr>
            <w:rStyle w:val="Hyperlink"/>
            <w:sz w:val="20"/>
            <w:szCs w:val="20"/>
          </w:rPr>
          <w:t>-for-</w:t>
        </w:r>
        <w:proofErr w:type="spellStart"/>
        <w:r w:rsidR="00D94451">
          <w:rPr>
            <w:rStyle w:val="Hyperlink"/>
            <w:sz w:val="20"/>
            <w:szCs w:val="20"/>
          </w:rPr>
          <w:t>managing</w:t>
        </w:r>
        <w:proofErr w:type="spellEnd"/>
        <w:r w:rsidR="00D94451">
          <w:rPr>
            <w:rStyle w:val="Hyperlink"/>
            <w:sz w:val="20"/>
            <w:szCs w:val="20"/>
          </w:rPr>
          <w:t>-</w:t>
        </w:r>
        <w:proofErr w:type="spellStart"/>
        <w:r w:rsidR="00D94451">
          <w:rPr>
            <w:rStyle w:val="Hyperlink"/>
            <w:sz w:val="20"/>
            <w:szCs w:val="20"/>
          </w:rPr>
          <w:t>unconscious-bias</w:t>
        </w:r>
        <w:proofErr w:type="spellEnd"/>
        <w:r w:rsidR="00D94451">
          <w:rPr>
            <w:rStyle w:val="Hyperlink"/>
            <w:sz w:val="20"/>
            <w:szCs w:val="20"/>
          </w:rPr>
          <w:t>/</w:t>
        </w:r>
      </w:hyperlink>
    </w:p>
    <w:sectPr w:rsidR="00EF4B5C" w:rsidRPr="00D94451" w:rsidSect="007D555C">
      <w:headerReference w:type="default" r:id="rId22"/>
      <w:footerReference w:type="default" r:id="rId23"/>
      <w:pgSz w:w="12240" w:h="15840"/>
      <w:pgMar w:top="203" w:right="540" w:bottom="810" w:left="630" w:header="246"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D066" w14:textId="77777777" w:rsidR="000A0CEF" w:rsidRDefault="000A0CEF" w:rsidP="000B6538">
      <w:pPr>
        <w:spacing w:after="0" w:line="240" w:lineRule="auto"/>
      </w:pPr>
      <w:r>
        <w:separator/>
      </w:r>
    </w:p>
  </w:endnote>
  <w:endnote w:type="continuationSeparator" w:id="0">
    <w:p w14:paraId="35DBFA55" w14:textId="77777777" w:rsidR="000A0CEF" w:rsidRDefault="000A0CEF" w:rsidP="000B6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963"/>
      <w:gridCol w:w="1107"/>
    </w:tblGrid>
    <w:tr w:rsidR="009C21F4" w:rsidRPr="00BE3017" w14:paraId="06D9524E" w14:textId="77777777">
      <w:tc>
        <w:tcPr>
          <w:tcW w:w="4500" w:type="pct"/>
          <w:tcBorders>
            <w:top w:val="single" w:sz="4" w:space="0" w:color="000000" w:themeColor="text1"/>
          </w:tcBorders>
        </w:tcPr>
        <w:p w14:paraId="529B2508" w14:textId="44CFE59C" w:rsidR="009C21F4" w:rsidRPr="00BE3017" w:rsidRDefault="0084401F" w:rsidP="00786F08">
          <w:pPr>
            <w:pStyle w:val="Footer"/>
            <w:jc w:val="right"/>
          </w:pPr>
          <w:sdt>
            <w:sdtPr>
              <w:rPr>
                <w:sz w:val="20"/>
                <w:szCs w:val="20"/>
              </w:rPr>
              <w:alias w:val="Entreprise"/>
              <w:id w:val="75971759"/>
              <w:placeholder>
                <w:docPart w:val="E9EFA96FE97F47A08B5D3C129B4D5378"/>
              </w:placeholder>
              <w:dataBinding w:prefixMappings="xmlns:ns0='http://schemas.openxmlformats.org/officeDocument/2006/extended-properties'" w:xpath="/ns0:Properties[1]/ns0:Company[1]" w:storeItemID="{6668398D-A668-4E3E-A5EB-62B293D839F1}"/>
              <w:text/>
            </w:sdtPr>
            <w:sdtEndPr/>
            <w:sdtContent>
              <w:r w:rsidR="007B4511" w:rsidRPr="007B4511">
                <w:rPr>
                  <w:sz w:val="20"/>
                  <w:szCs w:val="20"/>
                </w:rPr>
                <w:t>Stratégie d’embauche inclusive centrée sur la personne</w:t>
              </w:r>
            </w:sdtContent>
          </w:sdt>
          <w:r w:rsidR="007B4511">
            <w:rPr>
              <w:sz w:val="20"/>
            </w:rPr>
            <w:t xml:space="preserve"> | Formation sur les préjugés en entrevue : définitions</w:t>
          </w:r>
        </w:p>
      </w:tc>
      <w:tc>
        <w:tcPr>
          <w:tcW w:w="500" w:type="pct"/>
          <w:tcBorders>
            <w:top w:val="single" w:sz="4" w:space="0" w:color="C0504D" w:themeColor="accent2"/>
          </w:tcBorders>
          <w:shd w:val="clear" w:color="auto" w:fill="943634" w:themeFill="accent2" w:themeFillShade="BF"/>
        </w:tcPr>
        <w:p w14:paraId="24E8823E" w14:textId="77777777" w:rsidR="009C21F4" w:rsidRPr="00BE3017" w:rsidRDefault="00CC5B80">
          <w:pPr>
            <w:pStyle w:val="Header"/>
            <w:rPr>
              <w:color w:val="FFFFFF" w:themeColor="background1"/>
            </w:rPr>
          </w:pPr>
          <w:r w:rsidRPr="00BE3017">
            <w:fldChar w:fldCharType="begin"/>
          </w:r>
          <w:r w:rsidR="00DD3E87" w:rsidRPr="00BE3017">
            <w:instrText xml:space="preserve"> PAGE   \* MERGEFORMAT </w:instrText>
          </w:r>
          <w:r w:rsidRPr="00BE3017">
            <w:fldChar w:fldCharType="separate"/>
          </w:r>
          <w:r w:rsidR="000D3077" w:rsidRPr="00BE3017">
            <w:rPr>
              <w:color w:val="FFFFFF" w:themeColor="background1"/>
            </w:rPr>
            <w:t>1</w:t>
          </w:r>
          <w:r w:rsidRPr="00BE3017">
            <w:rPr>
              <w:color w:val="FFFFFF" w:themeColor="background1"/>
            </w:rPr>
            <w:fldChar w:fldCharType="end"/>
          </w:r>
        </w:p>
      </w:tc>
    </w:tr>
  </w:tbl>
  <w:p w14:paraId="5A371C47" w14:textId="77777777" w:rsidR="000B6538" w:rsidRPr="00BE3017" w:rsidRDefault="000B6538">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CC79C" w14:textId="77777777" w:rsidR="000A0CEF" w:rsidRDefault="000A0CEF" w:rsidP="000B6538">
      <w:pPr>
        <w:spacing w:after="0" w:line="240" w:lineRule="auto"/>
      </w:pPr>
      <w:r>
        <w:separator/>
      </w:r>
    </w:p>
  </w:footnote>
  <w:footnote w:type="continuationSeparator" w:id="0">
    <w:p w14:paraId="12DD1946" w14:textId="77777777" w:rsidR="000A0CEF" w:rsidRDefault="000A0CEF" w:rsidP="000B6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8339" w14:textId="77777777" w:rsidR="000B6538" w:rsidRPr="00294BA4" w:rsidRDefault="00786F08" w:rsidP="00786F08">
    <w:pPr>
      <w:pStyle w:val="Header"/>
      <w:tabs>
        <w:tab w:val="clear" w:pos="4680"/>
      </w:tabs>
      <w:jc w:val="center"/>
      <w:rPr>
        <w:sz w:val="28"/>
        <w:szCs w:val="28"/>
        <w14:shadow w14:blurRad="50800" w14:dist="38100" w14:dir="2700000" w14:sx="100000" w14:sy="100000" w14:kx="0" w14:ky="0" w14:algn="tl">
          <w14:srgbClr w14:val="000000">
            <w14:alpha w14:val="60000"/>
          </w14:srgbClr>
        </w14:shadow>
      </w:rPr>
    </w:pPr>
    <w:r w:rsidRPr="00294BA4">
      <w:rPr>
        <w:sz w:val="28"/>
        <w14:shadow w14:blurRad="50800" w14:dist="38100" w14:dir="2700000" w14:sx="100000" w14:sy="100000" w14:kx="0" w14:ky="0" w14:algn="tl">
          <w14:srgbClr w14:val="000000">
            <w14:alpha w14:val="60000"/>
          </w14:srgbClr>
        </w14:shadow>
      </w:rPr>
      <w:t>Formation sur les préjugés en entrevue : définitions</w:t>
    </w:r>
  </w:p>
  <w:p w14:paraId="73300F79" w14:textId="77777777" w:rsidR="0080309D" w:rsidRPr="00294BA4" w:rsidRDefault="00786F08" w:rsidP="000B6538">
    <w:pPr>
      <w:pStyle w:val="Header"/>
      <w:jc w:val="center"/>
      <w:rPr>
        <w:b/>
        <w:sz w:val="24"/>
        <w:szCs w:val="24"/>
        <w14:shadow w14:blurRad="50800" w14:dist="38100" w14:dir="2700000" w14:sx="100000" w14:sy="100000" w14:kx="0" w14:ky="0" w14:algn="tl">
          <w14:srgbClr w14:val="000000">
            <w14:alpha w14:val="60000"/>
          </w14:srgbClr>
        </w14:shadow>
      </w:rPr>
    </w:pPr>
    <w:r w:rsidRPr="00294BA4">
      <w:rPr>
        <w:b/>
        <w:sz w:val="24"/>
        <w14:shadow w14:blurRad="50800" w14:dist="38100" w14:dir="2700000" w14:sx="100000" w14:sy="100000" w14:kx="0" w14:ky="0" w14:algn="tl">
          <w14:srgbClr w14:val="000000">
            <w14:alpha w14:val="60000"/>
          </w14:srgbClr>
        </w14:shadow>
      </w:rPr>
      <w:t>Influence des préjugés inconscients sur le processus d’entrevue</w:t>
    </w:r>
  </w:p>
  <w:p w14:paraId="15CE9935" w14:textId="77777777" w:rsidR="000B6538" w:rsidRPr="00BE3017" w:rsidRDefault="000B6538" w:rsidP="000B6538">
    <w:pPr>
      <w:pStyle w:val="Header"/>
      <w:jc w:val="center"/>
      <w:rPr>
        <w:sz w:val="10"/>
        <w:szCs w:val="10"/>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B7191"/>
    <w:multiLevelType w:val="hybridMultilevel"/>
    <w:tmpl w:val="31E0D1CC"/>
    <w:lvl w:ilvl="0" w:tplc="9CE81EEA">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8AD07E6"/>
    <w:multiLevelType w:val="hybridMultilevel"/>
    <w:tmpl w:val="8306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3441535">
    <w:abstractNumId w:val="1"/>
  </w:num>
  <w:num w:numId="2" w16cid:durableId="113856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4D1"/>
    <w:rsid w:val="00005EEF"/>
    <w:rsid w:val="00082BB3"/>
    <w:rsid w:val="000A0CEF"/>
    <w:rsid w:val="000B6538"/>
    <w:rsid w:val="000C1BD7"/>
    <w:rsid w:val="000D3077"/>
    <w:rsid w:val="000E6914"/>
    <w:rsid w:val="000E7BFE"/>
    <w:rsid w:val="0011387C"/>
    <w:rsid w:val="0013499D"/>
    <w:rsid w:val="00136D91"/>
    <w:rsid w:val="00170A67"/>
    <w:rsid w:val="00236B34"/>
    <w:rsid w:val="00245235"/>
    <w:rsid w:val="002827D3"/>
    <w:rsid w:val="00294BA4"/>
    <w:rsid w:val="002D3E08"/>
    <w:rsid w:val="003604B2"/>
    <w:rsid w:val="003B2425"/>
    <w:rsid w:val="004754EC"/>
    <w:rsid w:val="004B1F73"/>
    <w:rsid w:val="005546D9"/>
    <w:rsid w:val="005573E8"/>
    <w:rsid w:val="00561E77"/>
    <w:rsid w:val="00584587"/>
    <w:rsid w:val="005B0AF2"/>
    <w:rsid w:val="005E34D1"/>
    <w:rsid w:val="006006A4"/>
    <w:rsid w:val="00610F65"/>
    <w:rsid w:val="00681757"/>
    <w:rsid w:val="00786F08"/>
    <w:rsid w:val="007B4511"/>
    <w:rsid w:val="007D555C"/>
    <w:rsid w:val="0080309D"/>
    <w:rsid w:val="0084401F"/>
    <w:rsid w:val="00844B17"/>
    <w:rsid w:val="008730BF"/>
    <w:rsid w:val="008C62FA"/>
    <w:rsid w:val="008F3C86"/>
    <w:rsid w:val="00983E42"/>
    <w:rsid w:val="009C21F4"/>
    <w:rsid w:val="009D0DD1"/>
    <w:rsid w:val="009D3345"/>
    <w:rsid w:val="009D74C7"/>
    <w:rsid w:val="00A10A8B"/>
    <w:rsid w:val="00A141D0"/>
    <w:rsid w:val="00A36317"/>
    <w:rsid w:val="00B05631"/>
    <w:rsid w:val="00B34177"/>
    <w:rsid w:val="00BA6B5A"/>
    <w:rsid w:val="00BB484C"/>
    <w:rsid w:val="00BE3017"/>
    <w:rsid w:val="00CA2482"/>
    <w:rsid w:val="00CB7D51"/>
    <w:rsid w:val="00CC5B80"/>
    <w:rsid w:val="00CC73D0"/>
    <w:rsid w:val="00D94451"/>
    <w:rsid w:val="00DD3E87"/>
    <w:rsid w:val="00E730BD"/>
    <w:rsid w:val="00EF3A17"/>
    <w:rsid w:val="00EF4B5C"/>
    <w:rsid w:val="00F51C06"/>
    <w:rsid w:val="00F81EDB"/>
    <w:rsid w:val="00FC5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892B"/>
  <w15:docId w15:val="{A37055EF-71AB-4B27-A6DC-4547949A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F0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B5C"/>
    <w:rPr>
      <w:color w:val="0000FF" w:themeColor="hyperlink"/>
      <w:u w:val="single"/>
    </w:rPr>
  </w:style>
  <w:style w:type="paragraph" w:styleId="ListParagraph">
    <w:name w:val="List Paragraph"/>
    <w:basedOn w:val="Normal"/>
    <w:uiPriority w:val="34"/>
    <w:qFormat/>
    <w:rsid w:val="00EF4B5C"/>
    <w:pPr>
      <w:spacing w:after="200" w:line="276" w:lineRule="auto"/>
      <w:ind w:left="720"/>
      <w:contextualSpacing/>
    </w:pPr>
  </w:style>
  <w:style w:type="paragraph" w:styleId="Header">
    <w:name w:val="header"/>
    <w:basedOn w:val="Normal"/>
    <w:link w:val="HeaderChar"/>
    <w:uiPriority w:val="99"/>
    <w:unhideWhenUsed/>
    <w:rsid w:val="000B6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538"/>
  </w:style>
  <w:style w:type="paragraph" w:styleId="Footer">
    <w:name w:val="footer"/>
    <w:basedOn w:val="Normal"/>
    <w:link w:val="FooterChar"/>
    <w:uiPriority w:val="99"/>
    <w:unhideWhenUsed/>
    <w:rsid w:val="000B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538"/>
  </w:style>
  <w:style w:type="paragraph" w:styleId="BalloonText">
    <w:name w:val="Balloon Text"/>
    <w:basedOn w:val="Normal"/>
    <w:link w:val="BalloonTextChar"/>
    <w:uiPriority w:val="99"/>
    <w:semiHidden/>
    <w:unhideWhenUsed/>
    <w:rsid w:val="000B6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538"/>
    <w:rPr>
      <w:rFonts w:ascii="Tahoma" w:hAnsi="Tahoma" w:cs="Tahoma"/>
      <w:sz w:val="16"/>
      <w:szCs w:val="16"/>
    </w:rPr>
  </w:style>
  <w:style w:type="table" w:styleId="TableGrid">
    <w:name w:val="Table Grid"/>
    <w:basedOn w:val="TableNormal"/>
    <w:uiPriority w:val="39"/>
    <w:rsid w:val="00786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7BFE"/>
    <w:pPr>
      <w:spacing w:after="0" w:line="240" w:lineRule="auto"/>
    </w:pPr>
  </w:style>
  <w:style w:type="character" w:styleId="FollowedHyperlink">
    <w:name w:val="FollowedHyperlink"/>
    <w:basedOn w:val="DefaultParagraphFont"/>
    <w:uiPriority w:val="99"/>
    <w:semiHidden/>
    <w:unhideWhenUsed/>
    <w:rsid w:val="0080309D"/>
    <w:rPr>
      <w:color w:val="800080" w:themeColor="followedHyperlink"/>
      <w:u w:val="single"/>
    </w:rPr>
  </w:style>
  <w:style w:type="paragraph" w:styleId="CommentText">
    <w:name w:val="annotation text"/>
    <w:basedOn w:val="Normal"/>
    <w:uiPriority w:val="99"/>
    <w:unhideWhenUsed/>
    <w:pPr>
      <w:spacing w:line="240" w:lineRule="auto"/>
    </w:pPr>
    <w:rPr>
      <w:sz w:val="20"/>
      <w:szCs w:val="20"/>
    </w:rPr>
  </w:style>
  <w:style w:type="character" w:styleId="CommentReference">
    <w:name w:val="annotation reference"/>
    <w:uiPriority w:val="99"/>
    <w:semiHidden/>
    <w:unhideWhenUsed/>
    <w:rPr>
      <w:sz w:val="16"/>
      <w:szCs w:val="16"/>
    </w:rPr>
  </w:style>
  <w:style w:type="character" w:styleId="UnresolvedMention">
    <w:name w:val="Unresolved Mention"/>
    <w:basedOn w:val="DefaultParagraphFont"/>
    <w:uiPriority w:val="99"/>
    <w:semiHidden/>
    <w:unhideWhenUsed/>
    <w:rsid w:val="00FC5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se.articulate.com/share/fKbP4-FCBZ4IdtXOpyI2VcudDRimq9bS" TargetMode="External"/><Relationship Id="rId13" Type="http://schemas.openxmlformats.org/officeDocument/2006/relationships/hyperlink" Target="https://cultureplusconsulting.com/2019/06/11/inclusive-recruitment/" TargetMode="External"/><Relationship Id="rId18" Type="http://schemas.openxmlformats.org/officeDocument/2006/relationships/hyperlink" Target="https://www.youtube.com/watch?v=6ljbYkIrWK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ultureplusconsulting.com/2018/10/17/six-proven-strategies-for-managing-unconscious-bias/" TargetMode="External"/><Relationship Id="rId7" Type="http://schemas.openxmlformats.org/officeDocument/2006/relationships/hyperlink" Target="https://www.aihr.com/blog/interviewer-bias/" TargetMode="External"/><Relationship Id="rId12" Type="http://schemas.openxmlformats.org/officeDocument/2006/relationships/hyperlink" Target="https://cultureplusconsulting.com/reduce-bias-training-for-hiring-managers/" TargetMode="External"/><Relationship Id="rId17" Type="http://schemas.openxmlformats.org/officeDocument/2006/relationships/hyperlink" Target="https://www.youtube.com/watch?v=vS_OwzHHXtQ"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implicit.harvard.edu/implicit/research/" TargetMode="External"/><Relationship Id="rId20" Type="http://schemas.openxmlformats.org/officeDocument/2006/relationships/hyperlink" Target="https://soundcloud.com/mindfulschools/online-live-sit-and-qa-on-implicit-bias-with-grace-helms-kot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qualityhumanrights.com/en/publication-download/unconscious-bias-training-assessment-evidence-effectivenes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vox.com/2014/12/26/7443979/racism-implicit-racial-bias" TargetMode="External"/><Relationship Id="rId23" Type="http://schemas.openxmlformats.org/officeDocument/2006/relationships/footer" Target="footer1.xml"/><Relationship Id="rId10" Type="http://schemas.openxmlformats.org/officeDocument/2006/relationships/hyperlink" Target="https://rise.articulate.com/share/fKbP4-FCBZ4IdtXOpyI2VcudDRimq9bS" TargetMode="External"/><Relationship Id="rId19" Type="http://schemas.openxmlformats.org/officeDocument/2006/relationships/hyperlink" Target="https://www.sciencedirect.com/science/article/abs/pii/S0022103112001369" TargetMode="External"/><Relationship Id="rId4" Type="http://schemas.openxmlformats.org/officeDocument/2006/relationships/webSettings" Target="webSettings.xml"/><Relationship Id="rId9" Type="http://schemas.openxmlformats.org/officeDocument/2006/relationships/hyperlink" Target="https://www.aihr.com/blog/interviewer-bias/" TargetMode="External"/><Relationship Id="rId14" Type="http://schemas.openxmlformats.org/officeDocument/2006/relationships/hyperlink" Target="https://builtin.com/diversity-inclusion/unconscious-bias-examples"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EFA96FE97F47A08B5D3C129B4D5378"/>
        <w:category>
          <w:name w:val="General"/>
          <w:gallery w:val="placeholder"/>
        </w:category>
        <w:types>
          <w:type w:val="bbPlcHdr"/>
        </w:types>
        <w:behaviors>
          <w:behavior w:val="content"/>
        </w:behaviors>
        <w:guid w:val="{A04A6EEA-73C7-4443-9A41-F85B3CD05C0D}"/>
      </w:docPartPr>
      <w:docPartBody>
        <w:p w:rsidR="00C506A8" w:rsidRDefault="00722356" w:rsidP="00722356">
          <w:pPr>
            <w:pStyle w:val="E9EFA96FE97F47A08B5D3C129B4D5378"/>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22356"/>
    <w:rsid w:val="00032362"/>
    <w:rsid w:val="002C22BC"/>
    <w:rsid w:val="006C0894"/>
    <w:rsid w:val="00722356"/>
    <w:rsid w:val="00831F0C"/>
    <w:rsid w:val="008807E3"/>
    <w:rsid w:val="00A60E6F"/>
    <w:rsid w:val="00A71F4C"/>
    <w:rsid w:val="00C506A8"/>
    <w:rsid w:val="00E16787"/>
    <w:rsid w:val="00E61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EFA96FE97F47A08B5D3C129B4D5378">
    <w:name w:val="E9EFA96FE97F47A08B5D3C129B4D5378"/>
    <w:rsid w:val="007223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1263</Words>
  <Characters>8084</Characters>
  <Application>Microsoft Office Word</Application>
  <DocSecurity>0</DocSecurity>
  <Lines>224</Lines>
  <Paragraphs>82</Paragraphs>
  <ScaleCrop>false</ScaleCrop>
  <HeadingPairs>
    <vt:vector size="2" baseType="variant">
      <vt:variant>
        <vt:lpstr>Title</vt:lpstr>
      </vt:variant>
      <vt:variant>
        <vt:i4>1</vt:i4>
      </vt:variant>
    </vt:vector>
  </HeadingPairs>
  <TitlesOfParts>
    <vt:vector size="1" baseType="lpstr">
      <vt:lpstr/>
    </vt:vector>
  </TitlesOfParts>
  <Company>Stratégie d’embauche inclusive centrée sur la personne</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SCrook</dc:creator>
  <cp:lastModifiedBy>Sheila Crook</cp:lastModifiedBy>
  <cp:revision>2</cp:revision>
  <dcterms:created xsi:type="dcterms:W3CDTF">2023-09-08T20:20:00Z</dcterms:created>
  <dcterms:modified xsi:type="dcterms:W3CDTF">2023-09-08T20:20:00Z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827433a51903340a600af08fdd492906c9996b45fab6c25ce843e85e5d0b501f</vt:lpwstr>
  </property>
</Properties>
</file>